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png" ContentType="image/png"/>
  <Override PartName="/word/media/image1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b/>
          <w:b/>
          <w:sz w:val="24"/>
          <w:szCs w:val="24"/>
        </w:rPr>
      </w:pPr>
      <w:r>
        <w:rPr>
          <w:b/>
          <w:sz w:val="24"/>
          <w:szCs w:val="24"/>
        </w:rPr>
        <w:t>Comissão Permanente de Capacitação - Balanço 2015</w:t>
      </w:r>
    </w:p>
    <w:p>
      <w:pPr>
        <w:pStyle w:val="Normal"/>
        <w:jc w:val="both"/>
        <w:rPr>
          <w:sz w:val="24"/>
          <w:szCs w:val="24"/>
        </w:rPr>
      </w:pPr>
      <w:r>
        <w:rPr>
          <w:sz w:val="24"/>
          <w:szCs w:val="24"/>
        </w:rPr>
      </w:r>
    </w:p>
    <w:p>
      <w:pPr>
        <w:pStyle w:val="Normal"/>
        <w:rPr>
          <w:rFonts w:cs="Arial"/>
          <w:b/>
          <w:b/>
          <w:sz w:val="24"/>
          <w:szCs w:val="24"/>
          <w:highlight w:val="white"/>
        </w:rPr>
      </w:pPr>
      <w:r>
        <w:rPr>
          <w:rFonts w:cs="Arial"/>
          <w:b/>
          <w:sz w:val="24"/>
          <w:szCs w:val="24"/>
          <w:shd w:fill="FFFFFF" w:val="clear"/>
        </w:rPr>
        <w:t>AÇÕES</w:t>
      </w:r>
    </w:p>
    <w:p>
      <w:pPr>
        <w:pStyle w:val="Normal"/>
        <w:rPr>
          <w:rFonts w:cs="Arial"/>
          <w:b/>
          <w:b/>
          <w:sz w:val="24"/>
          <w:szCs w:val="24"/>
          <w:highlight w:val="white"/>
        </w:rPr>
      </w:pPr>
      <w:r>
        <w:rPr>
          <w:rFonts w:cs="Arial"/>
          <w:b/>
          <w:sz w:val="24"/>
          <w:szCs w:val="24"/>
          <w:shd w:fill="FFFFFF" w:val="clear"/>
        </w:rPr>
      </w:r>
    </w:p>
    <w:p>
      <w:pPr>
        <w:pStyle w:val="Normal"/>
        <w:jc w:val="both"/>
        <w:rPr>
          <w:rFonts w:cs="Arial"/>
          <w:b/>
          <w:b/>
          <w:sz w:val="24"/>
          <w:szCs w:val="24"/>
          <w:highlight w:val="white"/>
        </w:rPr>
      </w:pPr>
      <w:r>
        <w:rPr>
          <w:rFonts w:cs="Arial"/>
          <w:b/>
          <w:sz w:val="24"/>
          <w:szCs w:val="24"/>
          <w:shd w:fill="FFFFFF" w:val="clear"/>
        </w:rPr>
        <w:t>1 - Café com a Rede: Compartilhamento</w:t>
      </w:r>
      <w:r>
        <w:rPr>
          <w:rStyle w:val="Appleconvertedspace"/>
          <w:rFonts w:cs="Arial"/>
          <w:b/>
          <w:sz w:val="24"/>
          <w:szCs w:val="24"/>
          <w:shd w:fill="FFFFFF" w:val="clear"/>
        </w:rPr>
        <w:t> </w:t>
      </w:r>
      <w:r>
        <w:rPr>
          <w:rStyle w:val="Il"/>
          <w:rFonts w:cs="Arial"/>
          <w:b/>
          <w:sz w:val="24"/>
          <w:szCs w:val="24"/>
          <w:shd w:fill="FFFFFF" w:val="clear"/>
        </w:rPr>
        <w:t>de</w:t>
      </w:r>
      <w:r>
        <w:rPr>
          <w:rStyle w:val="Appleconvertedspace"/>
          <w:rFonts w:cs="Arial"/>
          <w:b/>
          <w:sz w:val="24"/>
          <w:szCs w:val="24"/>
          <w:shd w:fill="FFFFFF" w:val="clear"/>
        </w:rPr>
        <w:t> </w:t>
      </w:r>
      <w:r>
        <w:rPr>
          <w:rFonts w:cs="Arial"/>
          <w:b/>
          <w:sz w:val="24"/>
          <w:szCs w:val="24"/>
          <w:shd w:fill="FFFFFF" w:val="clear"/>
        </w:rPr>
        <w:t>Boas Práticas da RCGP-PR</w:t>
      </w:r>
    </w:p>
    <w:p>
      <w:pPr>
        <w:pStyle w:val="Normal"/>
        <w:jc w:val="both"/>
        <w:rPr>
          <w:rFonts w:cs="Arial"/>
          <w:b/>
          <w:b/>
          <w:sz w:val="24"/>
          <w:szCs w:val="24"/>
          <w:highlight w:val="white"/>
        </w:rPr>
      </w:pPr>
      <w:r>
        <w:rPr>
          <w:rFonts w:cs="Arial"/>
          <w:b/>
          <w:sz w:val="24"/>
          <w:szCs w:val="24"/>
          <w:shd w:fill="FFFFFF" w:val="clear"/>
        </w:rPr>
        <w:t xml:space="preserve">2 </w:t>
      </w:r>
      <w:r>
        <w:rPr>
          <w:rFonts w:cs="Arial"/>
          <w:sz w:val="24"/>
          <w:szCs w:val="24"/>
          <w:shd w:fill="FFFFFF" w:val="clear"/>
        </w:rPr>
        <w:t>- Eventos de capacitação</w:t>
      </w:r>
      <w:r>
        <w:rPr>
          <w:rFonts w:cs="Arial"/>
          <w:b/>
          <w:sz w:val="24"/>
          <w:szCs w:val="24"/>
          <w:shd w:fill="FFFFFF" w:val="clear"/>
        </w:rPr>
        <w:t xml:space="preserve"> - Parceiros de Capacitação da Rede</w:t>
      </w:r>
    </w:p>
    <w:p>
      <w:pPr>
        <w:pStyle w:val="Normal"/>
        <w:jc w:val="both"/>
        <w:rPr>
          <w:rFonts w:cs="Arial"/>
          <w:b/>
          <w:b/>
          <w:sz w:val="24"/>
          <w:szCs w:val="24"/>
          <w:highlight w:val="white"/>
        </w:rPr>
      </w:pPr>
      <w:r>
        <w:rPr>
          <w:rFonts w:cs="Arial"/>
          <w:b/>
          <w:sz w:val="24"/>
          <w:szCs w:val="24"/>
          <w:shd w:fill="FFFFFF" w:val="clear"/>
        </w:rPr>
        <w:t>3 - II Encontro Estadual da Rede de Controle da Gestão Pública do Estado do Paraná</w:t>
      </w:r>
    </w:p>
    <w:p>
      <w:pPr>
        <w:pStyle w:val="Normal"/>
        <w:jc w:val="both"/>
        <w:rPr>
          <w:rFonts w:cs="Arial"/>
          <w:b/>
          <w:b/>
          <w:sz w:val="24"/>
          <w:szCs w:val="24"/>
          <w:highlight w:val="white"/>
        </w:rPr>
      </w:pPr>
      <w:r>
        <w:rPr>
          <w:rFonts w:cs="Arial"/>
          <w:b/>
          <w:sz w:val="24"/>
          <w:szCs w:val="24"/>
          <w:shd w:fill="FFFFFF" w:val="clear"/>
        </w:rPr>
        <w:t>4 - Reuniões</w:t>
      </w:r>
    </w:p>
    <w:p>
      <w:pPr>
        <w:pStyle w:val="Normal"/>
        <w:jc w:val="both"/>
        <w:rPr>
          <w:rFonts w:cs="Arial"/>
          <w:sz w:val="24"/>
          <w:szCs w:val="24"/>
          <w:highlight w:val="white"/>
        </w:rPr>
      </w:pPr>
      <w:r>
        <w:rPr>
          <w:rFonts w:cs="Arial"/>
          <w:sz w:val="24"/>
          <w:szCs w:val="24"/>
          <w:shd w:fill="FFFFFF" w:val="clear"/>
        </w:rPr>
      </w:r>
    </w:p>
    <w:p>
      <w:pPr>
        <w:pStyle w:val="Normal"/>
        <w:rPr>
          <w:rFonts w:cs="Arial"/>
          <w:sz w:val="24"/>
          <w:szCs w:val="24"/>
          <w:highlight w:val="white"/>
        </w:rPr>
      </w:pPr>
      <w:r>
        <w:rPr>
          <w:rFonts w:cs="Arial"/>
          <w:b/>
          <w:sz w:val="24"/>
          <w:szCs w:val="24"/>
          <w:shd w:fill="FFFFFF" w:val="clear"/>
        </w:rPr>
        <w:t>1 - Café com a Rede: Compartilhamento</w:t>
      </w:r>
      <w:r>
        <w:rPr>
          <w:rStyle w:val="Appleconvertedspace"/>
          <w:rFonts w:cs="Arial"/>
          <w:b/>
          <w:sz w:val="24"/>
          <w:szCs w:val="24"/>
          <w:shd w:fill="FFFFFF" w:val="clear"/>
        </w:rPr>
        <w:t> </w:t>
      </w:r>
      <w:r>
        <w:rPr>
          <w:rStyle w:val="Il"/>
          <w:rFonts w:cs="Arial"/>
          <w:b/>
          <w:sz w:val="24"/>
          <w:szCs w:val="24"/>
          <w:shd w:fill="FFFFFF" w:val="clear"/>
        </w:rPr>
        <w:t>de</w:t>
      </w:r>
      <w:r>
        <w:rPr>
          <w:rStyle w:val="Appleconvertedspace"/>
          <w:rFonts w:cs="Arial"/>
          <w:b/>
          <w:sz w:val="24"/>
          <w:szCs w:val="24"/>
          <w:shd w:fill="FFFFFF" w:val="clear"/>
        </w:rPr>
        <w:t> </w:t>
      </w:r>
      <w:r>
        <w:rPr>
          <w:rFonts w:cs="Arial"/>
          <w:b/>
          <w:sz w:val="24"/>
          <w:szCs w:val="24"/>
          <w:shd w:fill="FFFFFF" w:val="clear"/>
        </w:rPr>
        <w:t>Boas Práticas da RCGP-PR</w:t>
      </w:r>
    </w:p>
    <w:p>
      <w:pPr>
        <w:pStyle w:val="Normal"/>
        <w:jc w:val="both"/>
        <w:rPr>
          <w:rFonts w:cs="Arial"/>
          <w:sz w:val="24"/>
          <w:szCs w:val="24"/>
          <w:highlight w:val="white"/>
        </w:rPr>
      </w:pPr>
      <w:r>
        <w:rPr>
          <w:rFonts w:cs="Arial"/>
          <w:sz w:val="24"/>
          <w:szCs w:val="24"/>
          <w:shd w:fill="FFFFFF" w:val="clear"/>
        </w:rPr>
      </w:r>
    </w:p>
    <w:p>
      <w:pPr>
        <w:pStyle w:val="Normal"/>
        <w:jc w:val="both"/>
        <w:rPr>
          <w:sz w:val="24"/>
          <w:szCs w:val="24"/>
        </w:rPr>
      </w:pPr>
      <w:r>
        <w:rPr>
          <w:sz w:val="24"/>
          <w:szCs w:val="24"/>
        </w:rPr>
        <w:t xml:space="preserve">A Rede de Controle da Gestão Paraná, por meio da Comissão Permanente de Capacitação, promoveu dois (02) encontros para </w:t>
      </w:r>
      <w:r>
        <w:rPr>
          <w:rFonts w:cs="Arial"/>
          <w:sz w:val="24"/>
          <w:szCs w:val="24"/>
          <w:shd w:fill="FFFFFF" w:val="clear"/>
        </w:rPr>
        <w:t>Compartilhamento</w:t>
      </w:r>
      <w:r>
        <w:rPr>
          <w:rStyle w:val="Appleconvertedspace"/>
          <w:rFonts w:cs="Arial"/>
          <w:sz w:val="24"/>
          <w:szCs w:val="24"/>
          <w:shd w:fill="FFFFFF" w:val="clear"/>
        </w:rPr>
        <w:t> </w:t>
      </w:r>
      <w:r>
        <w:rPr>
          <w:rStyle w:val="Il"/>
          <w:rFonts w:cs="Arial"/>
          <w:sz w:val="24"/>
          <w:szCs w:val="24"/>
          <w:shd w:fill="FFFFFF" w:val="clear"/>
        </w:rPr>
        <w:t>de</w:t>
      </w:r>
      <w:r>
        <w:rPr>
          <w:rStyle w:val="Appleconvertedspace"/>
          <w:rFonts w:cs="Arial"/>
          <w:sz w:val="24"/>
          <w:szCs w:val="24"/>
          <w:shd w:fill="FFFFFF" w:val="clear"/>
        </w:rPr>
        <w:t> </w:t>
      </w:r>
      <w:r>
        <w:rPr>
          <w:rFonts w:cs="Arial"/>
          <w:sz w:val="24"/>
          <w:szCs w:val="24"/>
          <w:shd w:fill="FFFFFF" w:val="clear"/>
        </w:rPr>
        <w:t>Boas Práticas:</w:t>
      </w:r>
    </w:p>
    <w:p>
      <w:pPr>
        <w:pStyle w:val="Normal"/>
        <w:jc w:val="both"/>
        <w:rPr>
          <w:rFonts w:cs="Arial"/>
          <w:sz w:val="24"/>
          <w:szCs w:val="24"/>
          <w:highlight w:val="white"/>
        </w:rPr>
      </w:pPr>
      <w:r>
        <w:rPr>
          <w:rFonts w:cs="Arial"/>
          <w:sz w:val="24"/>
          <w:szCs w:val="24"/>
          <w:shd w:fill="FFFFFF" w:val="clear"/>
        </w:rPr>
      </w:r>
    </w:p>
    <w:p>
      <w:pPr>
        <w:pStyle w:val="Normal"/>
        <w:jc w:val="both"/>
        <w:rPr>
          <w:rFonts w:cs="Arial"/>
          <w:b/>
          <w:b/>
          <w:sz w:val="24"/>
          <w:szCs w:val="24"/>
        </w:rPr>
      </w:pPr>
      <w:r>
        <w:rPr>
          <w:rFonts w:cs="Arial"/>
          <w:b/>
          <w:sz w:val="24"/>
          <w:szCs w:val="24"/>
        </w:rPr>
        <w:t>Objetivo</w:t>
      </w:r>
    </w:p>
    <w:p>
      <w:pPr>
        <w:pStyle w:val="Normal"/>
        <w:jc w:val="both"/>
        <w:rPr>
          <w:sz w:val="24"/>
          <w:szCs w:val="24"/>
        </w:rPr>
      </w:pPr>
      <w:r>
        <w:rPr>
          <w:rFonts w:cs="Arial"/>
          <w:sz w:val="24"/>
          <w:szCs w:val="24"/>
        </w:rPr>
        <w:t>A exposição de boas práticas na área da gestão pública entre as instituições integrantes da Rede.</w:t>
      </w:r>
    </w:p>
    <w:p>
      <w:pPr>
        <w:pStyle w:val="Normal"/>
        <w:jc w:val="both"/>
        <w:rPr>
          <w:sz w:val="24"/>
          <w:szCs w:val="24"/>
        </w:rPr>
      </w:pPr>
      <w:r>
        <w:rPr>
          <w:sz w:val="24"/>
          <w:szCs w:val="24"/>
        </w:rPr>
      </w:r>
    </w:p>
    <w:p>
      <w:pPr>
        <w:pStyle w:val="Western"/>
        <w:shd w:val="clear" w:color="auto" w:fill="FFFFFF"/>
        <w:spacing w:beforeAutospacing="0" w:before="0" w:afterAutospacing="0" w:after="0"/>
        <w:jc w:val="both"/>
        <w:rPr>
          <w:rFonts w:ascii="Calibri" w:hAnsi="Calibri" w:cs="Arial"/>
        </w:rPr>
      </w:pPr>
      <w:r>
        <w:rPr>
          <w:rFonts w:cs="Arial" w:ascii="Calibri" w:hAnsi="Calibri"/>
          <w:b/>
        </w:rPr>
        <w:t>1º Encontro</w:t>
      </w:r>
      <w:r>
        <w:rPr>
          <w:rFonts w:cs="Arial" w:ascii="Calibri" w:hAnsi="Calibri"/>
        </w:rPr>
        <w:t xml:space="preserve"> - </w:t>
      </w:r>
      <w:r>
        <w:rPr>
          <w:rStyle w:val="Strong"/>
          <w:rFonts w:cs="Arial" w:ascii="Calibri" w:hAnsi="Calibri"/>
        </w:rPr>
        <w:t>Núcleo de Atuação Proativa da AGU e Economia com publicidade oficial no MPT</w:t>
      </w:r>
    </w:p>
    <w:p>
      <w:pPr>
        <w:pStyle w:val="Western"/>
        <w:shd w:val="clear" w:color="auto" w:fill="FFFFFF"/>
        <w:spacing w:beforeAutospacing="0" w:before="0" w:afterAutospacing="0" w:after="0"/>
        <w:jc w:val="both"/>
        <w:rPr>
          <w:rFonts w:ascii="Calibri" w:hAnsi="Calibri" w:cs="Arial"/>
          <w:kern w:val="2"/>
        </w:rPr>
      </w:pPr>
      <w:r>
        <w:rPr>
          <w:rFonts w:cs="Arial" w:ascii="Calibri" w:hAnsi="Calibri"/>
          <w:kern w:val="2"/>
        </w:rPr>
      </w:r>
    </w:p>
    <w:p>
      <w:pPr>
        <w:pStyle w:val="Western"/>
        <w:shd w:val="clear" w:color="auto" w:fill="FFFFFF"/>
        <w:spacing w:beforeAutospacing="0" w:before="0" w:afterAutospacing="0" w:after="0"/>
        <w:jc w:val="both"/>
        <w:rPr>
          <w:rFonts w:ascii="Calibri" w:hAnsi="Calibri" w:cs="Arial"/>
          <w:b/>
          <w:b/>
          <w:kern w:val="2"/>
        </w:rPr>
      </w:pPr>
      <w:r>
        <w:rPr>
          <w:rFonts w:cs="Arial" w:ascii="Calibri" w:hAnsi="Calibri"/>
          <w:kern w:val="2"/>
        </w:rPr>
        <w:t xml:space="preserve">Instituição/Órgão Partícipe Responsável: </w:t>
      </w:r>
      <w:r>
        <w:rPr>
          <w:rFonts w:cs="Arial" w:ascii="Calibri" w:hAnsi="Calibri"/>
          <w:b/>
        </w:rPr>
        <w:t xml:space="preserve">Advocacia-Geral da União </w:t>
      </w:r>
      <w:r>
        <w:rPr>
          <w:rFonts w:cs="Arial" w:ascii="Calibri" w:hAnsi="Calibri"/>
        </w:rPr>
        <w:t>e</w:t>
      </w:r>
      <w:r>
        <w:rPr>
          <w:rFonts w:cs="Arial" w:ascii="Calibri" w:hAnsi="Calibri"/>
          <w:b/>
        </w:rPr>
        <w:t xml:space="preserve"> Ministério Público do Trabalho</w:t>
      </w:r>
    </w:p>
    <w:p>
      <w:pPr>
        <w:pStyle w:val="Western"/>
        <w:shd w:val="clear" w:color="auto" w:fill="FFFFFF"/>
        <w:spacing w:beforeAutospacing="0" w:before="0" w:afterAutospacing="0" w:after="0"/>
        <w:jc w:val="both"/>
        <w:rPr>
          <w:rFonts w:ascii="Calibri" w:hAnsi="Calibri" w:cs="Arial"/>
          <w:b/>
          <w:b/>
        </w:rPr>
      </w:pPr>
      <w:r>
        <w:rPr>
          <w:rFonts w:cs="Arial" w:ascii="Calibri" w:hAnsi="Calibri"/>
        </w:rPr>
        <w:t xml:space="preserve">Data: </w:t>
      </w:r>
      <w:r>
        <w:rPr>
          <w:rFonts w:cs="Arial" w:ascii="Calibri" w:hAnsi="Calibri"/>
          <w:b/>
        </w:rPr>
        <w:t>28 de abril</w:t>
      </w:r>
    </w:p>
    <w:p>
      <w:pPr>
        <w:pStyle w:val="Western"/>
        <w:shd w:val="clear" w:color="auto" w:fill="FFFFFF"/>
        <w:spacing w:beforeAutospacing="0" w:before="0" w:afterAutospacing="0" w:after="0"/>
        <w:jc w:val="both"/>
        <w:rPr>
          <w:rFonts w:ascii="Calibri" w:hAnsi="Calibri" w:cs="Arial"/>
        </w:rPr>
      </w:pPr>
      <w:r>
        <w:rPr>
          <w:rFonts w:cs="Arial" w:ascii="Calibri" w:hAnsi="Calibri"/>
        </w:rPr>
        <w:t xml:space="preserve">Número de participantes: </w:t>
      </w:r>
      <w:r>
        <w:rPr>
          <w:rFonts w:cs="Arial" w:ascii="Calibri" w:hAnsi="Calibri"/>
          <w:b/>
        </w:rPr>
        <w:t>23</w:t>
      </w:r>
      <w:r>
        <w:rPr>
          <w:rFonts w:cs="Arial" w:ascii="Calibri" w:hAnsi="Calibri"/>
        </w:rPr>
        <w:t xml:space="preserve"> </w:t>
      </w:r>
    </w:p>
    <w:p>
      <w:pPr>
        <w:pStyle w:val="Western"/>
        <w:shd w:val="clear" w:color="auto" w:fill="FFFFFF"/>
        <w:spacing w:beforeAutospacing="0" w:before="0" w:afterAutospacing="0" w:after="0"/>
        <w:jc w:val="both"/>
        <w:rPr>
          <w:rFonts w:ascii="Calibri" w:hAnsi="Calibri" w:cs="Arial"/>
        </w:rPr>
      </w:pPr>
      <w:r>
        <w:rPr>
          <w:rFonts w:cs="Arial" w:ascii="Calibri" w:hAnsi="Calibri"/>
        </w:rPr>
      </w:r>
    </w:p>
    <w:p>
      <w:pPr>
        <w:pStyle w:val="Western"/>
        <w:shd w:val="clear" w:color="auto" w:fill="FFFFFF"/>
        <w:spacing w:beforeAutospacing="0" w:before="0" w:afterAutospacing="0" w:after="0"/>
        <w:jc w:val="both"/>
        <w:rPr>
          <w:rStyle w:val="Strong"/>
          <w:rFonts w:ascii="Calibri" w:hAnsi="Calibri" w:cs="Arial"/>
        </w:rPr>
      </w:pPr>
      <w:r>
        <w:rPr>
          <w:rStyle w:val="Strong"/>
          <w:rFonts w:cs="Arial" w:ascii="Calibri" w:hAnsi="Calibri"/>
        </w:rPr>
        <w:t>Núcleo de Atuação Proativa da AGU</w:t>
      </w:r>
    </w:p>
    <w:p>
      <w:pPr>
        <w:pStyle w:val="Western"/>
        <w:shd w:val="clear" w:color="auto" w:fill="FFFFFF"/>
        <w:spacing w:beforeAutospacing="0" w:before="0" w:afterAutospacing="0" w:after="0"/>
        <w:jc w:val="both"/>
        <w:rPr>
          <w:rFonts w:ascii="Calibri" w:hAnsi="Calibri" w:cs="Arial"/>
        </w:rPr>
      </w:pPr>
      <w:r>
        <w:rPr>
          <w:rFonts w:cs="Arial" w:ascii="Calibri" w:hAnsi="Calibri"/>
        </w:rPr>
        <w:t>No encontro, a Advocacia-Geral da União, por meio de seu Procurador-Chefe, Dr. Clênio Luiz Parizotto, e do Coordenador do Grupo de Atuação Proativa e Advogado da União, Dr. Vitor Pierantoni Campos, apresentou as ações e os resultados obtidos com o Grupo Permanente de Atuação Proativa desde a sua concepção em outubro de 2008.</w:t>
      </w:r>
    </w:p>
    <w:p>
      <w:pPr>
        <w:pStyle w:val="Western"/>
        <w:shd w:val="clear" w:color="auto" w:fill="FFFFFF"/>
        <w:spacing w:beforeAutospacing="0" w:before="0" w:afterAutospacing="0" w:after="0"/>
        <w:jc w:val="both"/>
        <w:rPr>
          <w:rFonts w:ascii="Calibri" w:hAnsi="Calibri" w:cs="Arial"/>
        </w:rPr>
      </w:pPr>
      <w:r>
        <w:rPr>
          <w:rFonts w:cs="Arial" w:ascii="Calibri" w:hAnsi="Calibri"/>
        </w:rPr>
        <w:t>O Grupo, idealizado por alguns Advogados da União, tem por atribuição</w:t>
      </w:r>
      <w:r>
        <w:rPr>
          <w:rStyle w:val="Appleconvertedspace"/>
          <w:rFonts w:cs="Arial" w:ascii="Calibri" w:hAnsi="Calibri"/>
        </w:rPr>
        <w:t> </w:t>
      </w:r>
      <w:r>
        <w:rPr>
          <w:rStyle w:val="Nfase"/>
          <w:rFonts w:cs="Arial" w:ascii="Calibri" w:hAnsi="Calibri"/>
        </w:rPr>
        <w:t>a)</w:t>
      </w:r>
      <w:r>
        <w:rPr>
          <w:rStyle w:val="Appleconvertedspace"/>
          <w:rFonts w:cs="Arial" w:ascii="Calibri" w:hAnsi="Calibri"/>
        </w:rPr>
        <w:t> </w:t>
      </w:r>
      <w:r>
        <w:rPr>
          <w:rFonts w:cs="Arial" w:ascii="Calibri" w:hAnsi="Calibri"/>
        </w:rPr>
        <w:t>ajuizar execuções a partir de julgados do TCU;</w:t>
      </w:r>
      <w:r>
        <w:rPr>
          <w:rStyle w:val="Appleconvertedspace"/>
          <w:rFonts w:cs="Arial" w:ascii="Calibri" w:hAnsi="Calibri"/>
        </w:rPr>
        <w:t> </w:t>
      </w:r>
      <w:r>
        <w:rPr>
          <w:rStyle w:val="Nfase"/>
          <w:rFonts w:cs="Arial" w:ascii="Calibri" w:hAnsi="Calibri"/>
        </w:rPr>
        <w:t>b)</w:t>
      </w:r>
      <w:r>
        <w:rPr>
          <w:rStyle w:val="Appleconvertedspace"/>
          <w:rFonts w:cs="Arial" w:ascii="Calibri" w:hAnsi="Calibri"/>
        </w:rPr>
        <w:t> </w:t>
      </w:r>
      <w:r>
        <w:rPr>
          <w:rFonts w:cs="Arial" w:ascii="Calibri" w:hAnsi="Calibri"/>
        </w:rPr>
        <w:t>ajuizar ações de improbidade administrativa;</w:t>
      </w:r>
      <w:r>
        <w:rPr>
          <w:rStyle w:val="Appleconvertedspace"/>
          <w:rFonts w:cs="Arial" w:ascii="Calibri" w:hAnsi="Calibri"/>
        </w:rPr>
        <w:t> </w:t>
      </w:r>
      <w:r>
        <w:rPr>
          <w:rStyle w:val="Nfase"/>
          <w:rFonts w:cs="Arial" w:ascii="Calibri" w:hAnsi="Calibri"/>
        </w:rPr>
        <w:t>c)</w:t>
      </w:r>
      <w:r>
        <w:rPr>
          <w:rStyle w:val="Appleconvertedspace"/>
          <w:rFonts w:cs="Arial" w:ascii="Calibri" w:hAnsi="Calibri"/>
        </w:rPr>
        <w:t> </w:t>
      </w:r>
      <w:r>
        <w:rPr>
          <w:rFonts w:cs="Arial" w:ascii="Calibri" w:hAnsi="Calibri"/>
        </w:rPr>
        <w:t>ajuizar ações civis públicas;</w:t>
      </w:r>
      <w:r>
        <w:rPr>
          <w:rStyle w:val="Appleconvertedspace"/>
          <w:rFonts w:cs="Arial" w:ascii="Calibri" w:hAnsi="Calibri"/>
        </w:rPr>
        <w:t> </w:t>
      </w:r>
      <w:r>
        <w:rPr>
          <w:rStyle w:val="Nfase"/>
          <w:rFonts w:cs="Arial" w:ascii="Calibri" w:hAnsi="Calibri"/>
        </w:rPr>
        <w:t>d)</w:t>
      </w:r>
      <w:r>
        <w:rPr>
          <w:rStyle w:val="Appleconvertedspace"/>
          <w:rFonts w:cs="Arial" w:ascii="Calibri" w:hAnsi="Calibri"/>
        </w:rPr>
        <w:t> </w:t>
      </w:r>
      <w:r>
        <w:rPr>
          <w:rFonts w:cs="Arial" w:ascii="Calibri" w:hAnsi="Calibri"/>
        </w:rPr>
        <w:t>ajuizar ações para ressarcimentos em valores superiores a 1 milhão;</w:t>
      </w:r>
      <w:r>
        <w:rPr>
          <w:rStyle w:val="Appleconvertedspace"/>
          <w:rFonts w:cs="Arial" w:ascii="Calibri" w:hAnsi="Calibri"/>
        </w:rPr>
        <w:t> </w:t>
      </w:r>
      <w:r>
        <w:rPr>
          <w:rStyle w:val="Nfase"/>
          <w:rFonts w:cs="Arial" w:ascii="Calibri" w:hAnsi="Calibri"/>
        </w:rPr>
        <w:t>e)</w:t>
      </w:r>
      <w:r>
        <w:rPr>
          <w:rStyle w:val="Appleconvertedspace"/>
          <w:rFonts w:cs="Arial" w:ascii="Calibri" w:hAnsi="Calibri"/>
        </w:rPr>
        <w:t> </w:t>
      </w:r>
      <w:r>
        <w:rPr>
          <w:rFonts w:cs="Arial" w:ascii="Calibri" w:hAnsi="Calibri"/>
        </w:rPr>
        <w:t>intervenção em ACPs, ACPIAs e ações populares; e</w:t>
      </w:r>
      <w:r>
        <w:rPr>
          <w:rStyle w:val="Appleconvertedspace"/>
          <w:rFonts w:cs="Arial" w:ascii="Calibri" w:hAnsi="Calibri"/>
        </w:rPr>
        <w:t> </w:t>
      </w:r>
      <w:r>
        <w:rPr>
          <w:rStyle w:val="Nfase"/>
          <w:rFonts w:cs="Arial" w:ascii="Calibri" w:hAnsi="Calibri"/>
        </w:rPr>
        <w:t>f)</w:t>
      </w:r>
      <w:r>
        <w:rPr>
          <w:rFonts w:cs="Arial" w:ascii="Calibri" w:hAnsi="Calibri"/>
        </w:rPr>
        <w:t>ajuizar ações de ressarcimento eleitoral.</w:t>
      </w:r>
    </w:p>
    <w:p>
      <w:pPr>
        <w:pStyle w:val="Western"/>
        <w:shd w:val="clear" w:color="auto" w:fill="FFFFFF"/>
        <w:spacing w:beforeAutospacing="0" w:before="0" w:afterAutospacing="0" w:after="0"/>
        <w:jc w:val="both"/>
        <w:rPr/>
      </w:pPr>
      <w:r>
        <w:rPr>
          <w:rFonts w:cs="Arial" w:ascii="Calibri" w:hAnsi="Calibri"/>
        </w:rPr>
        <w:t>Conforme a</w:t>
      </w:r>
      <w:r>
        <w:rPr>
          <w:rStyle w:val="Appleconvertedspace"/>
          <w:rFonts w:cs="Arial" w:ascii="Calibri" w:hAnsi="Calibri"/>
        </w:rPr>
        <w:t> </w:t>
      </w:r>
      <w:hyperlink r:id="rId2">
        <w:r>
          <w:rPr>
            <w:rStyle w:val="Strong"/>
            <w:rFonts w:cs="Arial" w:ascii="Calibri" w:hAnsi="Calibri"/>
            <w:b w:val="false"/>
          </w:rPr>
          <w:t>apresentação</w:t>
        </w:r>
      </w:hyperlink>
      <w:r>
        <w:rPr>
          <w:rStyle w:val="Appleconvertedspace"/>
          <w:rFonts w:cs="Arial" w:ascii="Calibri" w:hAnsi="Calibri"/>
        </w:rPr>
        <w:t> </w:t>
      </w:r>
      <w:r>
        <w:rPr>
          <w:rFonts w:cs="Arial" w:ascii="Calibri" w:hAnsi="Calibri"/>
        </w:rPr>
        <w:t>do órgão, com as ações do Grupo de Atuação Proativa houve significativo crescimento na quantidade de valores ressarcidos ao erário, passando de menos de 1% no início do projeto para, em média, 10% atualmente (em menos de 7 anos de existência).</w:t>
      </w:r>
    </w:p>
    <w:p>
      <w:pPr>
        <w:pStyle w:val="Western"/>
        <w:shd w:val="clear" w:color="auto" w:fill="FFFFFF"/>
        <w:spacing w:beforeAutospacing="0" w:before="0" w:afterAutospacing="0" w:after="0"/>
        <w:jc w:val="both"/>
        <w:rPr>
          <w:rFonts w:ascii="Calibri" w:hAnsi="Calibri" w:cs="Arial"/>
        </w:rPr>
      </w:pPr>
      <w:r>
        <w:rPr>
          <w:rFonts w:cs="Arial" w:ascii="Calibri" w:hAnsi="Calibri"/>
        </w:rPr>
        <w:t>Esta prática apresentada pela AGU coaduna-se com um dos principais objetivos da Rede de Controle, que é o combate à corrupção, evitando que aquele que comete um ato ilícito se beneficie do produto da irregularidade.</w:t>
      </w:r>
    </w:p>
    <w:p>
      <w:pPr>
        <w:pStyle w:val="Western"/>
        <w:shd w:val="clear" w:color="auto" w:fill="FFFFFF"/>
        <w:spacing w:beforeAutospacing="0" w:before="0" w:afterAutospacing="0" w:after="0"/>
        <w:jc w:val="both"/>
        <w:rPr>
          <w:rFonts w:ascii="Calibri" w:hAnsi="Calibri" w:cs="Arial"/>
        </w:rPr>
      </w:pPr>
      <w:r>
        <w:rPr>
          <w:rFonts w:cs="Arial" w:ascii="Calibri" w:hAnsi="Calibri"/>
        </w:rPr>
      </w:r>
    </w:p>
    <w:p>
      <w:pPr>
        <w:pStyle w:val="Western"/>
        <w:shd w:val="clear" w:color="auto" w:fill="FFFFFF"/>
        <w:spacing w:beforeAutospacing="0" w:before="0" w:afterAutospacing="0" w:after="0"/>
        <w:jc w:val="both"/>
        <w:rPr>
          <w:rStyle w:val="Strong"/>
          <w:rFonts w:ascii="Calibri" w:hAnsi="Calibri" w:cs="Arial"/>
        </w:rPr>
      </w:pPr>
      <w:r>
        <w:rPr>
          <w:rStyle w:val="Strong"/>
          <w:rFonts w:cs="Arial" w:ascii="Calibri" w:hAnsi="Calibri"/>
        </w:rPr>
        <w:t>Economia com publicidade oficial no MPT</w:t>
      </w:r>
    </w:p>
    <w:p>
      <w:pPr>
        <w:pStyle w:val="Western"/>
        <w:shd w:val="clear" w:color="auto" w:fill="FFFFFF"/>
        <w:spacing w:beforeAutospacing="0" w:before="0" w:afterAutospacing="0" w:after="0"/>
        <w:jc w:val="both"/>
        <w:rPr>
          <w:rFonts w:ascii="Calibri" w:hAnsi="Calibri" w:cs="Arial"/>
        </w:rPr>
      </w:pPr>
      <w:r>
        <w:rPr>
          <w:rFonts w:cs="Arial" w:ascii="Calibri" w:hAnsi="Calibri"/>
        </w:rPr>
        <w:t>Também foi apresentada no Encontro a boa prática adotada pelo Ministério Público do Trabalho em relação à redução dos gastos com publicidade oficial.</w:t>
      </w:r>
    </w:p>
    <w:p>
      <w:pPr>
        <w:pStyle w:val="Western"/>
        <w:shd w:val="clear" w:color="auto" w:fill="FFFFFF"/>
        <w:spacing w:beforeAutospacing="0" w:before="0" w:afterAutospacing="0" w:after="0"/>
        <w:jc w:val="both"/>
        <w:rPr>
          <w:rFonts w:ascii="Calibri" w:hAnsi="Calibri" w:cs="Arial"/>
        </w:rPr>
      </w:pPr>
      <w:r>
        <w:rPr>
          <w:rFonts w:cs="Arial" w:ascii="Calibri" w:hAnsi="Calibri"/>
        </w:rPr>
        <w:t>Conforme exposição do Procurador-Chefe do Trabalho, Dr. Gláucio Araújo de Oliveira, e do servidor Valmir Maiochi, o Ministério Público do Trabalho passou a reduzir o tamanho das notas enviadas para publicação em órgãos da imprensa oficial, eliminando informações desnecessárias e/ou repetitivas.</w:t>
      </w:r>
    </w:p>
    <w:p>
      <w:pPr>
        <w:pStyle w:val="Western"/>
        <w:shd w:val="clear" w:color="auto" w:fill="FFFFFF"/>
        <w:spacing w:beforeAutospacing="0" w:before="0" w:afterAutospacing="0" w:after="0"/>
        <w:jc w:val="both"/>
        <w:rPr>
          <w:rFonts w:ascii="Calibri" w:hAnsi="Calibri" w:cs="Arial"/>
        </w:rPr>
      </w:pPr>
      <w:r>
        <w:rPr>
          <w:rFonts w:cs="Arial" w:ascii="Calibri" w:hAnsi="Calibri"/>
        </w:rPr>
        <w:t>Essa medida simples diminuiu os gastos com essa contratação que é essencial à atividade das instituições públicas, a partir da constatação de que a publicidade oficial é cobrada por centímetro e que cada palavra desnecessariamente inserida nas notas gera um desperdício de dinheiro público.</w:t>
      </w:r>
    </w:p>
    <w:p>
      <w:pPr>
        <w:pStyle w:val="Western"/>
        <w:shd w:val="clear" w:color="auto" w:fill="FFFFFF"/>
        <w:spacing w:beforeAutospacing="0" w:before="0" w:afterAutospacing="0" w:after="0"/>
        <w:jc w:val="both"/>
        <w:rPr>
          <w:rFonts w:ascii="Calibri" w:hAnsi="Calibri" w:cs="Arial"/>
        </w:rPr>
      </w:pPr>
      <w:r>
        <w:rPr>
          <w:rFonts w:cs="Arial" w:ascii="Calibri" w:hAnsi="Calibri"/>
        </w:rPr>
        <w:t> </w:t>
      </w:r>
    </w:p>
    <w:p>
      <w:pPr>
        <w:pStyle w:val="Normal"/>
        <w:jc w:val="both"/>
        <w:rPr>
          <w:rStyle w:val="Appleconvertedspace"/>
          <w:rFonts w:cs="Arial"/>
          <w:sz w:val="24"/>
          <w:szCs w:val="24"/>
          <w:highlight w:val="white"/>
        </w:rPr>
      </w:pPr>
      <w:r>
        <w:rPr>
          <w:rFonts w:cs="Arial"/>
          <w:sz w:val="24"/>
          <w:szCs w:val="24"/>
          <w:highlight w:val="white"/>
        </w:rPr>
      </w:r>
    </w:p>
    <w:p>
      <w:pPr>
        <w:pStyle w:val="Normal"/>
        <w:rPr>
          <w:rStyle w:val="Appleconvertedspace"/>
          <w:rFonts w:cs="Arial"/>
          <w:sz w:val="24"/>
          <w:szCs w:val="24"/>
          <w:highlight w:val="white"/>
        </w:rPr>
      </w:pPr>
      <w:r>
        <w:rPr/>
        <mc:AlternateContent>
          <mc:Choice Requires="wps">
            <w:drawing>
              <wp:inline distT="0" distB="0" distL="0" distR="0">
                <wp:extent cx="4686935" cy="3515360"/>
                <wp:effectExtent l="0" t="0" r="0" b="0"/>
                <wp:docPr id="1" name="Imagem 5"/>
                <a:graphic xmlns:a="http://schemas.openxmlformats.org/drawingml/2006/main">
                  <a:graphicData uri="http://schemas.openxmlformats.org/drawingml/2006/picture">
                    <pic:pic xmlns:pic="http://schemas.openxmlformats.org/drawingml/2006/picture">
                      <pic:nvPicPr>
                        <pic:cNvPr id="0" name="Imagem 5" descr=""/>
                        <pic:cNvPicPr/>
                      </pic:nvPicPr>
                      <pic:blipFill>
                        <a:blip r:embed="rId3"/>
                        <a:stretch/>
                      </pic:blipFill>
                      <pic:spPr>
                        <a:xfrm>
                          <a:off x="0" y="0"/>
                          <a:ext cx="4686480" cy="35146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m 5" stroked="f" style="position:absolute;margin-left:0pt;margin-top:-276.8pt;width:368.95pt;height:276.7pt;mso-position-vertical:top" type="shapetype_75">
                <v:imagedata r:id="rId3" o:detectmouseclick="t"/>
                <w10:wrap type="none"/>
                <v:stroke color="#3465a4" joinstyle="round" endcap="flat"/>
              </v:shape>
            </w:pict>
          </mc:Fallback>
        </mc:AlternateContent>
      </w:r>
    </w:p>
    <w:p>
      <w:pPr>
        <w:pStyle w:val="Normal"/>
        <w:jc w:val="both"/>
        <w:rPr>
          <w:rStyle w:val="Appleconvertedspace"/>
          <w:rFonts w:cs="Arial"/>
          <w:sz w:val="24"/>
          <w:szCs w:val="24"/>
          <w:highlight w:val="white"/>
        </w:rPr>
      </w:pPr>
      <w:r>
        <w:rPr>
          <w:rFonts w:cs="Arial"/>
          <w:sz w:val="24"/>
          <w:szCs w:val="24"/>
          <w:highlight w:val="white"/>
        </w:rPr>
      </w:r>
    </w:p>
    <w:p>
      <w:pPr>
        <w:pStyle w:val="Normal"/>
        <w:jc w:val="both"/>
        <w:rPr>
          <w:rStyle w:val="Appleconvertedspace"/>
          <w:rFonts w:cs="Arial"/>
          <w:sz w:val="24"/>
          <w:szCs w:val="24"/>
          <w:highlight w:val="white"/>
        </w:rPr>
      </w:pPr>
      <w:r>
        <w:rPr>
          <w:rFonts w:cs="Arial"/>
          <w:sz w:val="24"/>
          <w:szCs w:val="24"/>
          <w:highlight w:val="white"/>
        </w:rPr>
      </w:r>
    </w:p>
    <w:p>
      <w:pPr>
        <w:pStyle w:val="Normal"/>
        <w:rPr>
          <w:rStyle w:val="Appleconvertedspace"/>
          <w:rFonts w:cs="Arial"/>
          <w:sz w:val="24"/>
          <w:szCs w:val="24"/>
          <w:highlight w:val="white"/>
        </w:rPr>
      </w:pPr>
      <w:r>
        <w:rPr/>
        <mc:AlternateContent>
          <mc:Choice Requires="wps">
            <w:drawing>
              <wp:inline distT="0" distB="0" distL="0" distR="0">
                <wp:extent cx="4725035" cy="3543935"/>
                <wp:effectExtent l="0" t="0" r="0" b="0"/>
                <wp:docPr id="2" name="Imagem 6"/>
                <a:graphic xmlns:a="http://schemas.openxmlformats.org/drawingml/2006/main">
                  <a:graphicData uri="http://schemas.openxmlformats.org/drawingml/2006/picture">
                    <pic:pic xmlns:pic="http://schemas.openxmlformats.org/drawingml/2006/picture">
                      <pic:nvPicPr>
                        <pic:cNvPr id="1" name="Imagem 6" descr=""/>
                        <pic:cNvPicPr/>
                      </pic:nvPicPr>
                      <pic:blipFill>
                        <a:blip r:embed="rId4"/>
                        <a:stretch/>
                      </pic:blipFill>
                      <pic:spPr>
                        <a:xfrm>
                          <a:off x="0" y="0"/>
                          <a:ext cx="4724280" cy="3543480"/>
                        </a:xfrm>
                        <a:prstGeom prst="rect">
                          <a:avLst/>
                        </a:prstGeom>
                        <a:ln>
                          <a:noFill/>
                        </a:ln>
                      </pic:spPr>
                    </pic:pic>
                  </a:graphicData>
                </a:graphic>
              </wp:inline>
            </w:drawing>
          </mc:Choice>
          <mc:Fallback>
            <w:pict>
              <v:shape id="shape_0" ID="Imagem 6" stroked="f" style="position:absolute;margin-left:0pt;margin-top:-279.05pt;width:371.95pt;height:278.95pt;mso-position-vertical:top" type="shapetype_75">
                <v:imagedata r:id="rId4" o:detectmouseclick="t"/>
                <w10:wrap type="none"/>
                <v:stroke color="#3465a4" joinstyle="round" endcap="flat"/>
              </v:shape>
            </w:pict>
          </mc:Fallback>
        </mc:AlternateContent>
      </w:r>
    </w:p>
    <w:p>
      <w:pPr>
        <w:pStyle w:val="Normal"/>
        <w:jc w:val="both"/>
        <w:rPr>
          <w:rStyle w:val="Appleconvertedspace"/>
          <w:rFonts w:cs="Arial"/>
          <w:sz w:val="24"/>
          <w:szCs w:val="24"/>
          <w:highlight w:val="white"/>
        </w:rPr>
      </w:pPr>
      <w:r>
        <w:rPr>
          <w:rFonts w:cs="Arial"/>
          <w:sz w:val="24"/>
          <w:szCs w:val="24"/>
          <w:highlight w:val="white"/>
        </w:rPr>
      </w:r>
    </w:p>
    <w:p>
      <w:pPr>
        <w:pStyle w:val="Normal"/>
        <w:jc w:val="both"/>
        <w:rPr>
          <w:rStyle w:val="Appleconvertedspace"/>
          <w:rFonts w:cs="Arial"/>
          <w:sz w:val="24"/>
          <w:szCs w:val="24"/>
          <w:highlight w:val="white"/>
        </w:rPr>
      </w:pPr>
      <w:r>
        <w:rPr>
          <w:rFonts w:cs="Arial"/>
          <w:sz w:val="24"/>
          <w:szCs w:val="24"/>
          <w:highlight w:val="white"/>
        </w:rPr>
      </w:r>
    </w:p>
    <w:p>
      <w:pPr>
        <w:pStyle w:val="Normal"/>
        <w:jc w:val="both"/>
        <w:rPr>
          <w:rFonts w:cs="Arial"/>
          <w:sz w:val="24"/>
          <w:szCs w:val="24"/>
          <w:highlight w:val="white"/>
        </w:rPr>
      </w:pPr>
      <w:r>
        <w:rPr>
          <w:rStyle w:val="Appleconvertedspace"/>
          <w:rFonts w:cs="Arial"/>
          <w:b/>
          <w:bCs/>
          <w:sz w:val="24"/>
          <w:szCs w:val="24"/>
          <w:shd w:fill="FFFFFF" w:val="clear"/>
        </w:rPr>
        <w:t> </w:t>
      </w:r>
      <w:r>
        <w:rPr>
          <w:rFonts w:cs="Arial"/>
          <w:b/>
          <w:bCs/>
          <w:sz w:val="24"/>
          <w:szCs w:val="24"/>
          <w:shd w:fill="FFFFFF" w:val="clear"/>
        </w:rPr>
        <w:t>2º Encontro:</w:t>
      </w:r>
      <w:r>
        <w:rPr>
          <w:rFonts w:cs="Arial"/>
          <w:sz w:val="24"/>
          <w:szCs w:val="24"/>
          <w:shd w:fill="FFFFFF" w:val="clear"/>
        </w:rPr>
        <w:t xml:space="preserve"> </w:t>
      </w:r>
      <w:r>
        <w:rPr>
          <w:rFonts w:cs="Arial"/>
          <w:b/>
          <w:kern w:val="2"/>
          <w:sz w:val="24"/>
          <w:szCs w:val="24"/>
          <w:lang w:eastAsia="pt-BR"/>
        </w:rPr>
        <w:t xml:space="preserve">As ações integradas para a recuperação de créditos públicos - </w:t>
      </w:r>
      <w:r>
        <w:rPr>
          <w:rFonts w:cs="Arial"/>
          <w:kern w:val="2"/>
          <w:sz w:val="24"/>
          <w:szCs w:val="24"/>
          <w:lang w:eastAsia="pt-BR"/>
        </w:rPr>
        <w:t>As perspectivas para um planejamento estratégico da Procuradoria-Geral do Estado do Paraná</w:t>
      </w:r>
    </w:p>
    <w:p>
      <w:pPr>
        <w:pStyle w:val="Normal"/>
        <w:jc w:val="both"/>
        <w:rPr>
          <w:rFonts w:cs="Arial"/>
          <w:sz w:val="24"/>
          <w:szCs w:val="24"/>
          <w:highlight w:val="white"/>
        </w:rPr>
      </w:pPr>
      <w:r>
        <w:rPr>
          <w:rFonts w:cs="Arial"/>
          <w:sz w:val="24"/>
          <w:szCs w:val="24"/>
          <w:shd w:fill="FFFFFF" w:val="clear"/>
        </w:rPr>
      </w:r>
    </w:p>
    <w:p>
      <w:pPr>
        <w:pStyle w:val="Normal"/>
        <w:jc w:val="both"/>
        <w:rPr>
          <w:rFonts w:cs="Arial"/>
          <w:b/>
          <w:b/>
          <w:kern w:val="2"/>
          <w:sz w:val="24"/>
          <w:szCs w:val="24"/>
          <w:lang w:eastAsia="pt-BR"/>
        </w:rPr>
      </w:pPr>
      <w:r>
        <w:rPr>
          <w:rFonts w:cs="Arial"/>
          <w:kern w:val="2"/>
          <w:sz w:val="24"/>
          <w:szCs w:val="24"/>
          <w:lang w:eastAsia="pt-BR"/>
        </w:rPr>
        <w:t xml:space="preserve">Instituição/Órgão Partícipe Responsável: </w:t>
      </w:r>
      <w:r>
        <w:rPr>
          <w:rFonts w:cs="Arial"/>
          <w:b/>
          <w:kern w:val="2"/>
          <w:sz w:val="24"/>
          <w:szCs w:val="24"/>
          <w:lang w:eastAsia="pt-BR"/>
        </w:rPr>
        <w:t xml:space="preserve">Procuradoria-Geral do Estado do Paraná </w:t>
      </w:r>
    </w:p>
    <w:p>
      <w:pPr>
        <w:pStyle w:val="Normal"/>
        <w:jc w:val="both"/>
        <w:rPr>
          <w:rFonts w:cs="Arial"/>
          <w:b/>
          <w:b/>
          <w:kern w:val="2"/>
          <w:sz w:val="24"/>
          <w:szCs w:val="24"/>
          <w:lang w:eastAsia="pt-BR"/>
        </w:rPr>
      </w:pPr>
      <w:r>
        <w:rPr>
          <w:rFonts w:cs="Arial"/>
          <w:kern w:val="2"/>
          <w:sz w:val="24"/>
          <w:szCs w:val="24"/>
          <w:lang w:eastAsia="pt-BR"/>
        </w:rPr>
        <w:t xml:space="preserve">Data: </w:t>
      </w:r>
      <w:r>
        <w:rPr>
          <w:rFonts w:cs="Arial"/>
          <w:b/>
          <w:kern w:val="2"/>
          <w:sz w:val="24"/>
          <w:szCs w:val="24"/>
          <w:lang w:eastAsia="pt-BR"/>
        </w:rPr>
        <w:t>18 de agosto</w:t>
      </w:r>
    </w:p>
    <w:p>
      <w:pPr>
        <w:pStyle w:val="Normal"/>
        <w:jc w:val="both"/>
        <w:rPr>
          <w:rFonts w:cs="Arial"/>
          <w:kern w:val="2"/>
          <w:sz w:val="24"/>
          <w:szCs w:val="24"/>
          <w:lang w:eastAsia="pt-BR"/>
        </w:rPr>
      </w:pPr>
      <w:r>
        <w:rPr>
          <w:rFonts w:cs="Arial"/>
          <w:kern w:val="2"/>
          <w:sz w:val="24"/>
          <w:szCs w:val="24"/>
          <w:lang w:eastAsia="pt-BR"/>
        </w:rPr>
        <w:t xml:space="preserve">Número de participantes: </w:t>
      </w:r>
      <w:r>
        <w:rPr>
          <w:rFonts w:cs="Arial"/>
          <w:b/>
          <w:kern w:val="2"/>
          <w:sz w:val="24"/>
          <w:szCs w:val="24"/>
          <w:lang w:eastAsia="pt-BR"/>
        </w:rPr>
        <w:t>51</w:t>
      </w:r>
    </w:p>
    <w:p>
      <w:pPr>
        <w:pStyle w:val="Normal"/>
        <w:jc w:val="both"/>
        <w:rPr>
          <w:rFonts w:cs="Arial"/>
          <w:kern w:val="2"/>
          <w:sz w:val="24"/>
          <w:szCs w:val="24"/>
          <w:lang w:eastAsia="pt-BR"/>
        </w:rPr>
      </w:pPr>
      <w:r>
        <w:rPr>
          <w:rFonts w:cs="Arial"/>
          <w:kern w:val="2"/>
          <w:sz w:val="24"/>
          <w:szCs w:val="24"/>
          <w:lang w:eastAsia="pt-BR"/>
        </w:rPr>
      </w:r>
    </w:p>
    <w:p>
      <w:pPr>
        <w:pStyle w:val="Normal"/>
        <w:shd w:val="clear" w:color="auto" w:fill="FFFFFF"/>
        <w:jc w:val="both"/>
        <w:rPr>
          <w:rFonts w:cs="Arial"/>
          <w:sz w:val="24"/>
          <w:szCs w:val="24"/>
          <w:lang w:eastAsia="pt-BR"/>
        </w:rPr>
      </w:pPr>
      <w:r>
        <w:rPr>
          <w:rFonts w:cs="Arial"/>
          <w:sz w:val="24"/>
          <w:szCs w:val="24"/>
          <w:lang w:eastAsia="pt-BR"/>
        </w:rPr>
        <w:t>Na abertura do encontro, o procurador-geral do Estado do Paraná, Paulo Sérgio Rosso, explicou que a PGE historicamente trabalhava na defesa judicial do Estado. No entanto, nos últimos três anos também foi chamada a agir na consultoria jurídica dos órgãos da administração. Por isso, foram criados núcleos jurídicos nas principais secretarias.</w:t>
      </w:r>
      <w:r>
        <w:rPr>
          <w:rFonts w:cs="Arial"/>
          <w:sz w:val="24"/>
          <w:szCs w:val="24"/>
          <w:lang w:eastAsia="pt-BR"/>
        </w:rPr>
        <w:br/>
        <w:br/>
      </w:r>
      <w:r>
        <w:rPr>
          <w:rFonts w:cs="Arial"/>
          <w:sz w:val="24"/>
          <w:szCs w:val="24"/>
          <w:lang w:eastAsia="pt-BR"/>
        </w:rPr>
        <w:t>Segundo ele, essa presença física aprimorou o trabalho administrativo nas secretarias. Rosso disse que agora é o momento de dar uma nova roupagem a essa estrutura, resultando na criação da Procuradoria Consultiva, que começou a funcionar no início deste ano no Palácio das Araucárias. “Funciona como um grande núcleo, onde se dá a primeira visão jurídica do ato administrativo”, afirmou.</w:t>
      </w:r>
    </w:p>
    <w:p>
      <w:pPr>
        <w:pStyle w:val="Normal"/>
        <w:shd w:val="clear" w:color="auto" w:fill="FFFFFF"/>
        <w:jc w:val="both"/>
        <w:rPr>
          <w:rFonts w:cs="Arial"/>
          <w:sz w:val="24"/>
          <w:szCs w:val="24"/>
          <w:lang w:eastAsia="pt-BR"/>
        </w:rPr>
      </w:pPr>
      <w:r>
        <w:rPr>
          <w:rFonts w:cs="Arial"/>
          <w:sz w:val="24"/>
          <w:szCs w:val="24"/>
          <w:lang w:eastAsia="pt-BR"/>
        </w:rPr>
        <w:br/>
      </w:r>
      <w:r>
        <w:rPr>
          <w:rFonts w:cs="Arial"/>
          <w:b/>
          <w:sz w:val="24"/>
          <w:szCs w:val="24"/>
          <w:lang w:eastAsia="pt-BR"/>
        </w:rPr>
        <w:t>PLANO</w:t>
      </w:r>
      <w:r>
        <w:rPr>
          <w:rFonts w:cs="Arial"/>
          <w:sz w:val="24"/>
          <w:szCs w:val="24"/>
          <w:lang w:eastAsia="pt-BR"/>
        </w:rPr>
        <w:t xml:space="preserve"> - O diretor-geral da PGE, Diogo Saldanha Macorati, fez uma explanação sobre o Planejamento Estratégico da PGE para os anos 2015 a 2020, que está em fase final de conclusão. De acordo com o levantamento apresentado pelo palestrante, aproximadamente 38 mil processos entram na Procuradoria-Geral do Estado por ano. “O aumento da demanda é gradativo”, mencionou Macorati.</w:t>
      </w:r>
    </w:p>
    <w:p>
      <w:pPr>
        <w:pStyle w:val="Normal"/>
        <w:shd w:val="clear" w:color="auto" w:fill="FFFFFF"/>
        <w:jc w:val="both"/>
        <w:rPr>
          <w:rFonts w:cs="Arial"/>
          <w:sz w:val="24"/>
          <w:szCs w:val="24"/>
          <w:lang w:eastAsia="pt-BR"/>
        </w:rPr>
      </w:pPr>
      <w:r>
        <w:rPr>
          <w:rFonts w:cs="Arial"/>
          <w:sz w:val="24"/>
          <w:szCs w:val="24"/>
          <w:lang w:eastAsia="pt-BR"/>
        </w:rPr>
        <w:br/>
      </w:r>
      <w:r>
        <w:rPr>
          <w:rFonts w:cs="Arial"/>
          <w:sz w:val="24"/>
          <w:szCs w:val="24"/>
          <w:lang w:eastAsia="pt-BR"/>
        </w:rPr>
        <w:t>Para isso, o planejamento leva em conta alguns pontos primordiais: aprimoramento da consultoria jurídica; redução da litigiosidade, com a adoção de modelos extrajudiciais; sistemas tecnológicos modernos; novos setores gerenciais e pessoal qualificado. O procurador-geral Paulo Sérgio Rosso destacou que a elaboração do plano contou com a colaboração de todos os procuradores. “Foi uma construção de baixo para cima”, afirmou. </w:t>
      </w:r>
    </w:p>
    <w:p>
      <w:pPr>
        <w:pStyle w:val="Normal"/>
        <w:shd w:val="clear" w:color="auto" w:fill="FFFFFF"/>
        <w:jc w:val="both"/>
        <w:rPr>
          <w:rFonts w:cs="Arial"/>
          <w:sz w:val="24"/>
          <w:szCs w:val="24"/>
          <w:lang w:eastAsia="pt-BR"/>
        </w:rPr>
      </w:pPr>
      <w:r>
        <w:rPr>
          <w:rFonts w:cs="Arial"/>
          <w:sz w:val="24"/>
          <w:szCs w:val="24"/>
          <w:lang w:eastAsia="pt-BR"/>
        </w:rPr>
        <w:br/>
      </w:r>
      <w:r>
        <w:rPr>
          <w:rFonts w:cs="Arial"/>
          <w:b/>
          <w:sz w:val="24"/>
          <w:szCs w:val="24"/>
          <w:lang w:eastAsia="pt-BR"/>
        </w:rPr>
        <w:t>RECUPERAÇÃO DE CRÉDITO</w:t>
      </w:r>
      <w:r>
        <w:rPr>
          <w:rFonts w:cs="Arial"/>
          <w:sz w:val="24"/>
          <w:szCs w:val="24"/>
          <w:lang w:eastAsia="pt-BR"/>
        </w:rPr>
        <w:t xml:space="preserve"> - A procuradora-chefe da Coordenadoria da Dívida Ajuizada, Letícia Ferreira da Silva, destacou em sua fala a integração da PGE com a Secretaria da Fazenda e outros órgãos para a recuperação do crédito público, o que já resultou em diversas ações para responsabilização de pessoas físicas e jurídicas e várias cautelares fiscais com finalidade de penhora. </w:t>
      </w:r>
    </w:p>
    <w:p>
      <w:pPr>
        <w:pStyle w:val="Normal"/>
        <w:shd w:val="clear" w:color="auto" w:fill="FFFFFF"/>
        <w:jc w:val="both"/>
        <w:rPr>
          <w:rFonts w:cs="Arial"/>
          <w:sz w:val="24"/>
          <w:szCs w:val="24"/>
          <w:lang w:eastAsia="pt-BR"/>
        </w:rPr>
      </w:pPr>
      <w:r>
        <w:rPr>
          <w:rFonts w:cs="Arial"/>
          <w:sz w:val="24"/>
          <w:szCs w:val="24"/>
          <w:lang w:eastAsia="pt-BR"/>
        </w:rPr>
        <w:br/>
      </w:r>
      <w:r>
        <w:rPr>
          <w:rFonts w:cs="Arial"/>
          <w:sz w:val="24"/>
          <w:szCs w:val="24"/>
          <w:lang w:eastAsia="pt-BR"/>
        </w:rPr>
        <w:t>Segundo ela, o Estado tem procurado, quando possível, a execução fiscal como uma forma mais eficaz de recuperar o crédito, ao mesmo tempo em que descongestiona o Poder Judiciário. No entanto, ainda enfrenta alguns problemas como o volume grande de empresas que deixaram de existir, sem regularizar a situação de débito com o Estado, ou a dificuldade de encontrar bens para penhora. “Se o credor não tem bens, frustra”, disse.</w:t>
      </w:r>
    </w:p>
    <w:p>
      <w:pPr>
        <w:pStyle w:val="Normal"/>
        <w:shd w:val="clear" w:color="auto" w:fill="FFFFFF"/>
        <w:jc w:val="both"/>
        <w:rPr>
          <w:rFonts w:cs="Arial"/>
          <w:sz w:val="24"/>
          <w:szCs w:val="24"/>
          <w:lang w:eastAsia="pt-BR"/>
        </w:rPr>
      </w:pPr>
      <w:r>
        <w:rPr>
          <w:rFonts w:cs="Arial"/>
          <w:sz w:val="24"/>
          <w:szCs w:val="24"/>
          <w:lang w:eastAsia="pt-BR"/>
        </w:rPr>
        <w:br/>
      </w:r>
      <w:r>
        <w:rPr>
          <w:rFonts w:cs="Arial"/>
          <w:sz w:val="24"/>
          <w:szCs w:val="24"/>
          <w:lang w:eastAsia="pt-BR"/>
        </w:rPr>
        <w:t>A procuradora listou outras ações que o Estado tem praticado com vistas à recuperação de crédito, entre elas a participação na semana da conciliação, em parceria com o Conselho Nacional de Justiça, e o parcelamento especial para empresas em recuperação judicial. O Estado também tem em andamento medidas que darão agilidade ao processo, como a criação de uma carteira de devedores e a integração das informações com vistas a penhoras. </w:t>
      </w:r>
    </w:p>
    <w:p>
      <w:pPr>
        <w:pStyle w:val="Normal"/>
        <w:shd w:val="clear" w:color="auto" w:fill="FFFFFF"/>
        <w:jc w:val="both"/>
        <w:rPr>
          <w:rFonts w:cs="Arial"/>
          <w:sz w:val="24"/>
          <w:szCs w:val="24"/>
          <w:lang w:eastAsia="pt-BR"/>
        </w:rPr>
      </w:pPr>
      <w:r>
        <w:rPr>
          <w:rFonts w:cs="Arial"/>
          <w:sz w:val="24"/>
          <w:szCs w:val="24"/>
          <w:lang w:eastAsia="pt-BR"/>
        </w:rPr>
      </w:r>
    </w:p>
    <w:p>
      <w:pPr>
        <w:pStyle w:val="Normal"/>
        <w:rPr>
          <w:rFonts w:cs="Arial"/>
          <w:sz w:val="24"/>
          <w:szCs w:val="24"/>
          <w:lang w:eastAsia="pt-BR"/>
        </w:rPr>
      </w:pPr>
      <w:r>
        <w:rPr/>
        <mc:AlternateContent>
          <mc:Choice Requires="wps">
            <w:drawing>
              <wp:inline distT="0" distB="0" distL="0" distR="0">
                <wp:extent cx="3534410" cy="2353310"/>
                <wp:effectExtent l="0" t="0" r="0" b="0"/>
                <wp:docPr id="3" name="Imagem 4"/>
                <a:graphic xmlns:a="http://schemas.openxmlformats.org/drawingml/2006/main">
                  <a:graphicData uri="http://schemas.openxmlformats.org/drawingml/2006/picture">
                    <pic:pic xmlns:pic="http://schemas.openxmlformats.org/drawingml/2006/picture">
                      <pic:nvPicPr>
                        <pic:cNvPr id="2" name="Imagem 4" descr=""/>
                        <pic:cNvPicPr/>
                      </pic:nvPicPr>
                      <pic:blipFill>
                        <a:blip r:embed="rId5"/>
                        <a:stretch/>
                      </pic:blipFill>
                      <pic:spPr>
                        <a:xfrm>
                          <a:off x="0" y="0"/>
                          <a:ext cx="3533760" cy="2352600"/>
                        </a:xfrm>
                        <a:prstGeom prst="rect">
                          <a:avLst/>
                        </a:prstGeom>
                        <a:ln>
                          <a:noFill/>
                        </a:ln>
                      </pic:spPr>
                    </pic:pic>
                  </a:graphicData>
                </a:graphic>
              </wp:inline>
            </w:drawing>
          </mc:Choice>
          <mc:Fallback>
            <w:pict>
              <v:shape id="shape_0" ID="Imagem 4" stroked="f" style="position:absolute;margin-left:0pt;margin-top:-185.3pt;width:278.2pt;height:185.2pt;mso-position-vertical:top" type="shapetype_75">
                <v:imagedata r:id="rId5" o:detectmouseclick="t"/>
                <w10:wrap type="none"/>
                <v:stroke color="#3465a4" joinstyle="round" endcap="flat"/>
              </v:shape>
            </w:pict>
          </mc:Fallback>
        </mc:AlternateContent>
      </w:r>
      <w:r>
        <w:rPr>
          <w:rFonts w:cs="Arial"/>
          <w:sz w:val="24"/>
          <w:szCs w:val="24"/>
          <w:lang w:eastAsia="pt-BR"/>
        </w:rPr>
        <w:br/>
      </w:r>
    </w:p>
    <w:p>
      <w:pPr>
        <w:pStyle w:val="Normal"/>
        <w:jc w:val="both"/>
        <w:rPr>
          <w:rFonts w:cs="Arial"/>
          <w:sz w:val="24"/>
          <w:szCs w:val="24"/>
          <w:lang w:eastAsia="pt-BR"/>
        </w:rPr>
      </w:pPr>
      <w:r>
        <w:rPr>
          <w:rFonts w:cs="Arial"/>
          <w:sz w:val="24"/>
          <w:szCs w:val="24"/>
          <w:lang w:eastAsia="pt-BR"/>
        </w:rPr>
        <w:br/>
      </w:r>
    </w:p>
    <w:p>
      <w:pPr>
        <w:pStyle w:val="Normal"/>
        <w:rPr>
          <w:rFonts w:cs="Arial"/>
          <w:sz w:val="24"/>
          <w:szCs w:val="24"/>
          <w:lang w:eastAsia="pt-BR"/>
        </w:rPr>
      </w:pPr>
      <w:r>
        <w:rPr/>
        <mc:AlternateContent>
          <mc:Choice Requires="wps">
            <w:drawing>
              <wp:inline distT="0" distB="0" distL="0" distR="0">
                <wp:extent cx="1667510" cy="2505710"/>
                <wp:effectExtent l="0" t="0" r="0" b="0"/>
                <wp:docPr id="4" name="Imagem 3"/>
                <a:graphic xmlns:a="http://schemas.openxmlformats.org/drawingml/2006/main">
                  <a:graphicData uri="http://schemas.openxmlformats.org/drawingml/2006/picture">
                    <pic:pic xmlns:pic="http://schemas.openxmlformats.org/drawingml/2006/picture">
                      <pic:nvPicPr>
                        <pic:cNvPr id="3" name="Imagem 3" descr=""/>
                        <pic:cNvPicPr/>
                      </pic:nvPicPr>
                      <pic:blipFill>
                        <a:blip r:embed="rId6"/>
                        <a:stretch/>
                      </pic:blipFill>
                      <pic:spPr>
                        <a:xfrm>
                          <a:off x="0" y="0"/>
                          <a:ext cx="1666800" cy="2505240"/>
                        </a:xfrm>
                        <a:prstGeom prst="rect">
                          <a:avLst/>
                        </a:prstGeom>
                        <a:ln>
                          <a:noFill/>
                        </a:ln>
                      </pic:spPr>
                    </pic:pic>
                  </a:graphicData>
                </a:graphic>
              </wp:inline>
            </w:drawing>
          </mc:Choice>
          <mc:Fallback>
            <w:pict>
              <v:shape id="shape_0" ID="Imagem 3" stroked="f" style="position:absolute;margin-left:0pt;margin-top:-197.3pt;width:131.2pt;height:197.2pt;mso-position-vertical:top" type="shapetype_75">
                <v:imagedata r:id="rId6" o:detectmouseclick="t"/>
                <w10:wrap type="none"/>
                <v:stroke color="#3465a4" joinstyle="round" endcap="flat"/>
              </v:shape>
            </w:pict>
          </mc:Fallback>
        </mc:AlternateContent>
      </w:r>
      <w:r>
        <w:rPr>
          <w:rFonts w:cs="Arial"/>
          <w:sz w:val="24"/>
          <w:szCs w:val="24"/>
          <w:lang w:eastAsia="pt-BR"/>
        </w:rPr>
        <w:br/>
      </w:r>
    </w:p>
    <w:p>
      <w:pPr>
        <w:pStyle w:val="Normal"/>
        <w:jc w:val="both"/>
        <w:rPr>
          <w:rFonts w:cs="Arial"/>
          <w:sz w:val="24"/>
          <w:szCs w:val="24"/>
          <w:lang w:eastAsia="pt-BR"/>
        </w:rPr>
      </w:pPr>
      <w:r>
        <w:rPr>
          <w:rFonts w:cs="Arial"/>
          <w:sz w:val="24"/>
          <w:szCs w:val="24"/>
          <w:lang w:eastAsia="pt-BR"/>
        </w:rPr>
      </w:r>
    </w:p>
    <w:p>
      <w:pPr>
        <w:pStyle w:val="Normal"/>
        <w:rPr>
          <w:rFonts w:cs="Arial"/>
          <w:sz w:val="24"/>
          <w:szCs w:val="24"/>
          <w:lang w:eastAsia="pt-BR"/>
        </w:rPr>
      </w:pPr>
      <w:r>
        <w:rPr/>
        <mc:AlternateContent>
          <mc:Choice Requires="wps">
            <w:drawing>
              <wp:inline distT="0" distB="0" distL="0" distR="0">
                <wp:extent cx="2972435" cy="1981835"/>
                <wp:effectExtent l="0" t="0" r="0" b="0"/>
                <wp:docPr id="5" name="Imagem 1"/>
                <a:graphic xmlns:a="http://schemas.openxmlformats.org/drawingml/2006/main">
                  <a:graphicData uri="http://schemas.openxmlformats.org/drawingml/2006/picture">
                    <pic:pic xmlns:pic="http://schemas.openxmlformats.org/drawingml/2006/picture">
                      <pic:nvPicPr>
                        <pic:cNvPr id="4" name="Imagem 1" descr=""/>
                        <pic:cNvPicPr/>
                      </pic:nvPicPr>
                      <pic:blipFill>
                        <a:blip r:embed="rId7"/>
                        <a:stretch/>
                      </pic:blipFill>
                      <pic:spPr>
                        <a:xfrm>
                          <a:off x="0" y="0"/>
                          <a:ext cx="2971800" cy="1981080"/>
                        </a:xfrm>
                        <a:prstGeom prst="rect">
                          <a:avLst/>
                        </a:prstGeom>
                        <a:ln>
                          <a:noFill/>
                        </a:ln>
                      </pic:spPr>
                    </pic:pic>
                  </a:graphicData>
                </a:graphic>
              </wp:inline>
            </w:drawing>
          </mc:Choice>
          <mc:Fallback>
            <w:pict>
              <v:shape id="shape_0" ID="Imagem 1" stroked="f" style="position:absolute;margin-left:0pt;margin-top:-156.05pt;width:233.95pt;height:155.95pt;mso-position-vertical:top" type="shapetype_75">
                <v:imagedata r:id="rId7" o:detectmouseclick="t"/>
                <w10:wrap type="none"/>
                <v:stroke color="#3465a4" joinstyle="round" endcap="flat"/>
              </v:shape>
            </w:pict>
          </mc:Fallback>
        </mc:AlternateContent>
      </w:r>
      <w:r>
        <w:rPr>
          <w:rFonts w:cs="Arial"/>
          <w:sz w:val="24"/>
          <w:szCs w:val="24"/>
          <w:lang w:eastAsia="pt-BR"/>
        </w:rPr>
        <w:br/>
      </w:r>
    </w:p>
    <w:p>
      <w:pPr>
        <w:pStyle w:val="Normal"/>
        <w:jc w:val="both"/>
        <w:rPr>
          <w:sz w:val="24"/>
          <w:szCs w:val="24"/>
        </w:rPr>
      </w:pPr>
      <w:r>
        <w:rPr>
          <w:sz w:val="24"/>
          <w:szCs w:val="24"/>
        </w:rPr>
      </w:r>
    </w:p>
    <w:p>
      <w:pPr>
        <w:pStyle w:val="Normal"/>
        <w:rPr>
          <w:rFonts w:cs="Arial"/>
          <w:b/>
          <w:b/>
          <w:sz w:val="24"/>
          <w:szCs w:val="24"/>
          <w:highlight w:val="white"/>
        </w:rPr>
      </w:pPr>
      <w:r>
        <w:rPr>
          <w:rFonts w:cs="Arial"/>
          <w:b/>
          <w:sz w:val="24"/>
          <w:szCs w:val="24"/>
          <w:shd w:fill="FFFFFF" w:val="clear"/>
        </w:rPr>
        <w:t>2 - Eventos de Capacitação - Parceiros de Capacitação da Rede</w:t>
      </w:r>
    </w:p>
    <w:p>
      <w:pPr>
        <w:pStyle w:val="Normal"/>
        <w:rPr>
          <w:rFonts w:cs="Arial"/>
          <w:sz w:val="24"/>
          <w:szCs w:val="24"/>
          <w:highlight w:val="white"/>
        </w:rPr>
      </w:pPr>
      <w:r>
        <w:rPr>
          <w:rFonts w:cs="Arial"/>
          <w:sz w:val="24"/>
          <w:szCs w:val="24"/>
          <w:shd w:fill="FFFFFF" w:val="clear"/>
        </w:rPr>
      </w:r>
    </w:p>
    <w:p>
      <w:pPr>
        <w:pStyle w:val="Normal"/>
        <w:jc w:val="both"/>
        <w:rPr>
          <w:rFonts w:cs="Arial"/>
          <w:b/>
          <w:b/>
          <w:sz w:val="24"/>
          <w:szCs w:val="24"/>
          <w:highlight w:val="white"/>
        </w:rPr>
      </w:pPr>
      <w:r>
        <w:rPr>
          <w:rFonts w:cs="Arial"/>
          <w:sz w:val="24"/>
          <w:szCs w:val="24"/>
          <w:shd w:fill="FFFFFF" w:val="clear"/>
        </w:rPr>
        <w:t>Número de eventos:</w:t>
      </w:r>
      <w:r>
        <w:rPr>
          <w:rFonts w:cs="Arial"/>
          <w:b/>
          <w:sz w:val="24"/>
          <w:szCs w:val="24"/>
          <w:shd w:fill="FFFFFF" w:val="clear"/>
        </w:rPr>
        <w:t xml:space="preserve"> 09 eventos de capacitação.</w:t>
      </w:r>
    </w:p>
    <w:p>
      <w:pPr>
        <w:pStyle w:val="Normal"/>
        <w:rPr>
          <w:rFonts w:cs="Arial"/>
          <w:b/>
          <w:b/>
          <w:sz w:val="24"/>
          <w:szCs w:val="24"/>
          <w:highlight w:val="white"/>
        </w:rPr>
      </w:pPr>
      <w:r>
        <w:rPr>
          <w:rFonts w:cs="Arial"/>
          <w:b/>
          <w:sz w:val="24"/>
          <w:szCs w:val="24"/>
          <w:shd w:fill="FFFFFF" w:val="clear"/>
        </w:rPr>
      </w:r>
    </w:p>
    <w:p>
      <w:pPr>
        <w:pStyle w:val="Normal"/>
        <w:jc w:val="both"/>
        <w:rPr>
          <w:b/>
          <w:b/>
          <w:sz w:val="24"/>
          <w:szCs w:val="24"/>
        </w:rPr>
      </w:pPr>
      <w:r>
        <w:rPr>
          <w:b/>
          <w:sz w:val="24"/>
          <w:szCs w:val="24"/>
        </w:rPr>
        <w:t>Ministério Público do Estado do Paraná - MPPR</w:t>
      </w:r>
    </w:p>
    <w:p>
      <w:pPr>
        <w:pStyle w:val="Normal"/>
        <w:jc w:val="both"/>
        <w:rPr>
          <w:b/>
          <w:b/>
          <w:bCs/>
          <w:sz w:val="24"/>
          <w:szCs w:val="24"/>
        </w:rPr>
      </w:pPr>
      <w:r>
        <w:rPr>
          <w:sz w:val="24"/>
          <w:szCs w:val="24"/>
        </w:rPr>
        <w:t>17/04/2015 -</w:t>
      </w:r>
      <w:r>
        <w:rPr>
          <w:b/>
          <w:sz w:val="24"/>
          <w:szCs w:val="24"/>
        </w:rPr>
        <w:t xml:space="preserve"> </w:t>
      </w:r>
      <w:r>
        <w:rPr>
          <w:bCs/>
          <w:sz w:val="24"/>
          <w:szCs w:val="24"/>
        </w:rPr>
        <w:t>Mesa Redonda:</w:t>
      </w:r>
      <w:r>
        <w:rPr>
          <w:b/>
          <w:bCs/>
          <w:sz w:val="24"/>
          <w:szCs w:val="24"/>
        </w:rPr>
        <w:t xml:space="preserve"> </w:t>
      </w:r>
      <w:r>
        <w:rPr>
          <w:b/>
          <w:sz w:val="24"/>
          <w:szCs w:val="24"/>
        </w:rPr>
        <w:t>Repressão da Lavagem de Dinheiro e da Corrupção pelo Ministério Público</w:t>
      </w:r>
    </w:p>
    <w:p>
      <w:pPr>
        <w:pStyle w:val="Normal"/>
        <w:jc w:val="both"/>
        <w:rPr>
          <w:b/>
          <w:b/>
          <w:sz w:val="24"/>
          <w:szCs w:val="24"/>
        </w:rPr>
      </w:pPr>
      <w:r>
        <w:rPr>
          <w:b/>
          <w:sz w:val="24"/>
          <w:szCs w:val="24"/>
        </w:rPr>
      </w:r>
    </w:p>
    <w:p>
      <w:pPr>
        <w:pStyle w:val="Normal"/>
        <w:jc w:val="both"/>
        <w:rPr>
          <w:b/>
          <w:b/>
          <w:sz w:val="24"/>
          <w:szCs w:val="24"/>
        </w:rPr>
      </w:pPr>
      <w:r>
        <w:rPr>
          <w:b/>
          <w:sz w:val="24"/>
          <w:szCs w:val="24"/>
        </w:rPr>
        <w:t>Procuradoria Geral do Estado do Paraná - PGE</w:t>
      </w:r>
    </w:p>
    <w:p>
      <w:pPr>
        <w:pStyle w:val="Normal"/>
        <w:jc w:val="both"/>
        <w:rPr>
          <w:b/>
          <w:b/>
          <w:sz w:val="24"/>
          <w:szCs w:val="24"/>
        </w:rPr>
      </w:pPr>
      <w:r>
        <w:rPr>
          <w:sz w:val="24"/>
          <w:szCs w:val="24"/>
        </w:rPr>
        <w:t xml:space="preserve">25/08/2015 </w:t>
      </w:r>
      <w:r>
        <w:rPr>
          <w:b/>
          <w:sz w:val="24"/>
          <w:szCs w:val="24"/>
        </w:rPr>
        <w:t>- Palestra: Segurança Jurídica e Eficiência na Aplicação do Direito Público</w:t>
      </w:r>
    </w:p>
    <w:p>
      <w:pPr>
        <w:pStyle w:val="Normal"/>
        <w:jc w:val="both"/>
        <w:rPr>
          <w:b/>
          <w:b/>
          <w:sz w:val="24"/>
          <w:szCs w:val="24"/>
        </w:rPr>
      </w:pPr>
      <w:r>
        <w:rPr>
          <w:b/>
          <w:sz w:val="24"/>
          <w:szCs w:val="24"/>
        </w:rPr>
      </w:r>
    </w:p>
    <w:p>
      <w:pPr>
        <w:pStyle w:val="Ttulo2"/>
        <w:shd w:val="clear" w:color="auto" w:fill="FFFFFF"/>
        <w:spacing w:lineRule="atLeast" w:line="270" w:before="0" w:after="0"/>
        <w:jc w:val="both"/>
        <w:rPr>
          <w:rFonts w:ascii="Calibri" w:hAnsi="Calibri" w:cs="Arial"/>
          <w:color w:val="auto"/>
          <w:sz w:val="24"/>
          <w:szCs w:val="24"/>
        </w:rPr>
      </w:pPr>
      <w:r>
        <w:rPr>
          <w:rFonts w:cs="Arial" w:ascii="Calibri" w:hAnsi="Calibri"/>
          <w:color w:val="auto"/>
          <w:sz w:val="24"/>
          <w:szCs w:val="24"/>
        </w:rPr>
        <w:t>Tribunal de Contas do Estado do Paraná - TCE</w:t>
      </w:r>
    </w:p>
    <w:p>
      <w:pPr>
        <w:pStyle w:val="Normal"/>
        <w:jc w:val="both"/>
        <w:rPr>
          <w:sz w:val="24"/>
          <w:szCs w:val="24"/>
        </w:rPr>
      </w:pPr>
      <w:r>
        <w:rPr>
          <w:sz w:val="24"/>
          <w:szCs w:val="24"/>
        </w:rPr>
        <w:t xml:space="preserve">19 a 28/10/2015 - Curso: </w:t>
      </w:r>
      <w:r>
        <w:rPr>
          <w:b/>
          <w:sz w:val="24"/>
          <w:szCs w:val="24"/>
        </w:rPr>
        <w:t>Transferências Voluntárias - Noções Gerais</w:t>
      </w:r>
    </w:p>
    <w:p>
      <w:pPr>
        <w:pStyle w:val="Normal"/>
        <w:rPr>
          <w:sz w:val="24"/>
          <w:szCs w:val="24"/>
        </w:rPr>
      </w:pPr>
      <w:r>
        <w:rPr>
          <w:sz w:val="24"/>
          <w:szCs w:val="24"/>
        </w:rPr>
      </w:r>
    </w:p>
    <w:p>
      <w:pPr>
        <w:pStyle w:val="Normal"/>
        <w:jc w:val="both"/>
        <w:rPr>
          <w:sz w:val="24"/>
          <w:szCs w:val="24"/>
        </w:rPr>
      </w:pPr>
      <w:r>
        <w:rPr>
          <w:sz w:val="24"/>
          <w:szCs w:val="24"/>
        </w:rPr>
        <w:t xml:space="preserve">06 a 17/10/2015 - Curso: </w:t>
      </w:r>
      <w:r>
        <w:rPr>
          <w:b/>
          <w:sz w:val="24"/>
          <w:szCs w:val="24"/>
        </w:rPr>
        <w:t>SIAP - Módulo Quadro de Cargos/Empregos/Funções</w:t>
      </w:r>
    </w:p>
    <w:p>
      <w:pPr>
        <w:pStyle w:val="Normal"/>
        <w:rPr>
          <w:sz w:val="24"/>
          <w:szCs w:val="24"/>
        </w:rPr>
      </w:pPr>
      <w:r>
        <w:rPr>
          <w:sz w:val="24"/>
          <w:szCs w:val="24"/>
        </w:rPr>
      </w:r>
    </w:p>
    <w:p>
      <w:pPr>
        <w:pStyle w:val="Normal"/>
        <w:jc w:val="both"/>
        <w:rPr>
          <w:b/>
          <w:b/>
          <w:sz w:val="24"/>
          <w:szCs w:val="24"/>
        </w:rPr>
      </w:pPr>
      <w:r>
        <w:rPr>
          <w:sz w:val="24"/>
          <w:szCs w:val="24"/>
        </w:rPr>
        <w:t xml:space="preserve">10 a 18/09/2015 - Curso: </w:t>
      </w:r>
      <w:r>
        <w:rPr>
          <w:b/>
          <w:sz w:val="24"/>
          <w:szCs w:val="24"/>
        </w:rPr>
        <w:t>Corrupção e Contratação Administrativa</w:t>
      </w:r>
    </w:p>
    <w:p>
      <w:pPr>
        <w:pStyle w:val="Normal"/>
        <w:rPr>
          <w:sz w:val="24"/>
          <w:szCs w:val="24"/>
        </w:rPr>
      </w:pPr>
      <w:r>
        <w:rPr>
          <w:sz w:val="24"/>
          <w:szCs w:val="24"/>
        </w:rPr>
      </w:r>
    </w:p>
    <w:p>
      <w:pPr>
        <w:pStyle w:val="Normal"/>
        <w:jc w:val="both"/>
        <w:rPr>
          <w:b/>
          <w:b/>
          <w:sz w:val="24"/>
          <w:szCs w:val="24"/>
        </w:rPr>
      </w:pPr>
      <w:r>
        <w:rPr>
          <w:sz w:val="24"/>
          <w:szCs w:val="24"/>
        </w:rPr>
        <w:t xml:space="preserve">02 A 13/07/2015 - Curso: </w:t>
      </w:r>
      <w:r>
        <w:rPr>
          <w:b/>
          <w:sz w:val="24"/>
          <w:szCs w:val="24"/>
        </w:rPr>
        <w:t>Atos de Pessoal: Teoria &amp; Prática - Turma 01</w:t>
      </w:r>
    </w:p>
    <w:p>
      <w:pPr>
        <w:pStyle w:val="Normal"/>
        <w:rPr>
          <w:sz w:val="24"/>
          <w:szCs w:val="24"/>
        </w:rPr>
      </w:pPr>
      <w:r>
        <w:rPr>
          <w:sz w:val="24"/>
          <w:szCs w:val="24"/>
        </w:rPr>
      </w:r>
    </w:p>
    <w:p>
      <w:pPr>
        <w:pStyle w:val="Normal"/>
        <w:jc w:val="both"/>
        <w:rPr>
          <w:b/>
          <w:b/>
          <w:sz w:val="24"/>
          <w:szCs w:val="24"/>
        </w:rPr>
      </w:pPr>
      <w:r>
        <w:rPr>
          <w:sz w:val="24"/>
          <w:szCs w:val="24"/>
        </w:rPr>
        <w:t xml:space="preserve">01 e 02/07/2015 - Curso: </w:t>
      </w:r>
      <w:r>
        <w:rPr>
          <w:b/>
          <w:sz w:val="24"/>
          <w:szCs w:val="24"/>
        </w:rPr>
        <w:t>Licitações segundo o Tribunal de Contas do Paraná</w:t>
      </w:r>
    </w:p>
    <w:p>
      <w:pPr>
        <w:pStyle w:val="Normal"/>
        <w:jc w:val="both"/>
        <w:rPr>
          <w:sz w:val="24"/>
          <w:szCs w:val="24"/>
        </w:rPr>
      </w:pPr>
      <w:r>
        <w:rPr>
          <w:sz w:val="24"/>
          <w:szCs w:val="24"/>
        </w:rPr>
      </w:r>
    </w:p>
    <w:p>
      <w:pPr>
        <w:pStyle w:val="Normal"/>
        <w:jc w:val="both"/>
        <w:rPr>
          <w:sz w:val="24"/>
          <w:szCs w:val="24"/>
        </w:rPr>
      </w:pPr>
      <w:r>
        <w:rPr>
          <w:sz w:val="24"/>
          <w:szCs w:val="24"/>
        </w:rPr>
        <w:t xml:space="preserve">17/06/2015 - Curso: </w:t>
      </w:r>
      <w:r>
        <w:rPr>
          <w:b/>
          <w:sz w:val="24"/>
          <w:szCs w:val="24"/>
        </w:rPr>
        <w:t>Desafios da Infraestrutura - PPP, RDC e o papel do Controle</w:t>
      </w:r>
    </w:p>
    <w:p>
      <w:pPr>
        <w:pStyle w:val="Normal"/>
        <w:jc w:val="both"/>
        <w:rPr>
          <w:sz w:val="24"/>
          <w:szCs w:val="24"/>
        </w:rPr>
      </w:pPr>
      <w:r>
        <w:rPr>
          <w:sz w:val="24"/>
          <w:szCs w:val="24"/>
        </w:rPr>
      </w:r>
    </w:p>
    <w:p>
      <w:pPr>
        <w:pStyle w:val="Normal"/>
        <w:jc w:val="both"/>
        <w:rPr>
          <w:b/>
          <w:b/>
          <w:sz w:val="24"/>
          <w:szCs w:val="24"/>
        </w:rPr>
      </w:pPr>
      <w:r>
        <w:rPr>
          <w:sz w:val="24"/>
          <w:szCs w:val="24"/>
        </w:rPr>
        <w:t xml:space="preserve">22/04/2015 - Curso: </w:t>
      </w:r>
      <w:r>
        <w:rPr>
          <w:b/>
          <w:sz w:val="24"/>
          <w:szCs w:val="24"/>
        </w:rPr>
        <w:t>SEI-CED Regulamentação, Características, Módulos e Funcionalidades</w:t>
      </w:r>
    </w:p>
    <w:p>
      <w:pPr>
        <w:pStyle w:val="Normal"/>
        <w:jc w:val="both"/>
        <w:rPr>
          <w:b/>
          <w:b/>
          <w:sz w:val="24"/>
          <w:szCs w:val="24"/>
        </w:rPr>
      </w:pPr>
      <w:r>
        <w:rPr>
          <w:b/>
          <w:sz w:val="24"/>
          <w:szCs w:val="24"/>
        </w:rPr>
      </w:r>
    </w:p>
    <w:p>
      <w:pPr>
        <w:pStyle w:val="Normal"/>
        <w:jc w:val="both"/>
        <w:rPr>
          <w:b/>
          <w:b/>
          <w:sz w:val="24"/>
          <w:szCs w:val="24"/>
        </w:rPr>
      </w:pPr>
      <w:r>
        <w:rPr>
          <w:b/>
          <w:sz w:val="24"/>
          <w:szCs w:val="24"/>
        </w:rPr>
      </w:r>
    </w:p>
    <w:p>
      <w:pPr>
        <w:pStyle w:val="Normal"/>
        <w:jc w:val="both"/>
        <w:rPr>
          <w:b/>
          <w:b/>
          <w:sz w:val="24"/>
          <w:szCs w:val="24"/>
        </w:rPr>
      </w:pPr>
      <w:r>
        <w:rPr>
          <w:b/>
          <w:sz w:val="24"/>
          <w:szCs w:val="24"/>
        </w:rPr>
      </w:r>
    </w:p>
    <w:p>
      <w:pPr>
        <w:pStyle w:val="Normal"/>
        <w:jc w:val="both"/>
        <w:rPr>
          <w:b/>
          <w:b/>
          <w:sz w:val="24"/>
          <w:szCs w:val="24"/>
        </w:rPr>
      </w:pPr>
      <w:r>
        <w:rPr>
          <w:b/>
          <w:sz w:val="24"/>
          <w:szCs w:val="24"/>
        </w:rPr>
      </w:r>
    </w:p>
    <w:p>
      <w:pPr>
        <w:pStyle w:val="Normal"/>
        <w:jc w:val="both"/>
        <w:rPr>
          <w:rFonts w:cs="Arial"/>
          <w:b/>
          <w:b/>
          <w:sz w:val="24"/>
          <w:szCs w:val="24"/>
          <w:highlight w:val="white"/>
        </w:rPr>
      </w:pPr>
      <w:r>
        <w:rPr>
          <w:rFonts w:cs="Arial"/>
          <w:b/>
          <w:sz w:val="24"/>
          <w:szCs w:val="24"/>
          <w:shd w:fill="FFFFFF" w:val="clear"/>
        </w:rPr>
        <w:t xml:space="preserve">3 - II Encontro Estadual da Rede de Controle da Gestão Pública no Paraná: </w:t>
      </w:r>
      <w:r>
        <w:rPr>
          <w:rFonts w:cs="Arial"/>
          <w:b/>
          <w:bCs/>
          <w:color w:val="333333"/>
          <w:sz w:val="24"/>
          <w:szCs w:val="24"/>
          <w:lang w:eastAsia="pt-BR"/>
        </w:rPr>
        <w:t>Os desafios no controle social e no combate à corrupção no Paraná.</w:t>
      </w:r>
    </w:p>
    <w:p>
      <w:pPr>
        <w:pStyle w:val="Normal"/>
        <w:jc w:val="both"/>
        <w:rPr>
          <w:rFonts w:cs="Arial"/>
          <w:b/>
          <w:b/>
          <w:sz w:val="24"/>
          <w:szCs w:val="24"/>
          <w:highlight w:val="white"/>
        </w:rPr>
      </w:pPr>
      <w:r>
        <w:rPr>
          <w:rFonts w:cs="Arial"/>
          <w:b/>
          <w:sz w:val="24"/>
          <w:szCs w:val="24"/>
          <w:shd w:fill="FFFFFF" w:val="clear"/>
        </w:rPr>
      </w:r>
    </w:p>
    <w:p>
      <w:pPr>
        <w:pStyle w:val="Normal"/>
        <w:shd w:val="clear" w:color="auto" w:fill="FFFFFF"/>
        <w:spacing w:lineRule="atLeast" w:line="270"/>
        <w:jc w:val="both"/>
        <w:rPr>
          <w:rFonts w:cs="Arial"/>
          <w:b/>
          <w:b/>
          <w:color w:val="333333"/>
          <w:sz w:val="24"/>
          <w:szCs w:val="24"/>
          <w:lang w:eastAsia="pt-BR"/>
        </w:rPr>
      </w:pPr>
      <w:r>
        <w:rPr>
          <w:rFonts w:cs="Arial"/>
          <w:color w:val="333333"/>
          <w:sz w:val="24"/>
          <w:szCs w:val="24"/>
          <w:lang w:eastAsia="pt-BR"/>
        </w:rPr>
        <w:t xml:space="preserve">Data: </w:t>
      </w:r>
      <w:r>
        <w:rPr>
          <w:rFonts w:cs="Arial"/>
          <w:b/>
          <w:color w:val="333333"/>
          <w:sz w:val="24"/>
          <w:szCs w:val="24"/>
          <w:lang w:eastAsia="pt-BR"/>
        </w:rPr>
        <w:t>24/09/2015</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Local: CRC/PR, na Rua XV de Novembro, 2987, Alto da XV.</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Número de inscritos: 299</w:t>
      </w:r>
      <w:r>
        <w:rPr>
          <w:rFonts w:cs="Arial"/>
          <w:b/>
          <w:color w:val="333333"/>
          <w:sz w:val="24"/>
          <w:szCs w:val="24"/>
          <w:lang w:eastAsia="pt-BR"/>
        </w:rPr>
        <w:t xml:space="preserve"> </w:t>
      </w:r>
    </w:p>
    <w:p>
      <w:pPr>
        <w:pStyle w:val="Normal"/>
        <w:shd w:val="clear" w:color="auto" w:fill="FFFFFF"/>
        <w:spacing w:lineRule="atLeast" w:line="270"/>
        <w:jc w:val="both"/>
        <w:rPr>
          <w:rFonts w:cs="Arial"/>
          <w:b/>
          <w:b/>
          <w:color w:val="333333"/>
          <w:sz w:val="24"/>
          <w:szCs w:val="24"/>
          <w:lang w:eastAsia="pt-BR"/>
        </w:rPr>
      </w:pPr>
      <w:r>
        <w:rPr>
          <w:rFonts w:cs="Arial"/>
          <w:color w:val="333333"/>
          <w:sz w:val="24"/>
          <w:szCs w:val="24"/>
          <w:lang w:eastAsia="pt-BR"/>
        </w:rPr>
        <w:t xml:space="preserve">Certificados: </w:t>
      </w:r>
      <w:r>
        <w:rPr>
          <w:rFonts w:cs="Arial"/>
          <w:b/>
          <w:color w:val="333333"/>
          <w:sz w:val="24"/>
          <w:szCs w:val="24"/>
          <w:lang w:eastAsia="pt-BR"/>
        </w:rPr>
        <w:t>197 participantes</w:t>
      </w:r>
      <w:r>
        <w:rPr>
          <w:rFonts w:cs="Arial"/>
          <w:color w:val="333333"/>
          <w:sz w:val="24"/>
          <w:szCs w:val="24"/>
          <w:lang w:eastAsia="pt-BR"/>
        </w:rPr>
        <w:t xml:space="preserve"> (18 municípios) - </w:t>
      </w:r>
      <w:r>
        <w:rPr>
          <w:rFonts w:cs="Arial"/>
          <w:i/>
          <w:color w:val="333333"/>
          <w:sz w:val="24"/>
          <w:szCs w:val="24"/>
          <w:lang w:eastAsia="pt-BR"/>
        </w:rPr>
        <w:t>Inscritos: 299</w:t>
      </w:r>
      <w:r>
        <w:rPr>
          <w:rFonts w:cs="Arial"/>
          <w:b/>
          <w:color w:val="333333"/>
          <w:sz w:val="24"/>
          <w:szCs w:val="24"/>
          <w:lang w:eastAsia="pt-BR"/>
        </w:rPr>
        <w:t xml:space="preserve"> </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ALEP, CELEPAR, CGE, CGU, COPEL, DEPEN, MPF, MPPR, PGE, PG, TCE, TCU, TjEPR, TER, Receita Federal, Policia Científica do Paraná, Polícia Civil, Polícia Federal, Polícia Militar, DEPEN, Prefeituras, PROCON, SEJU, URBS, Agencia de Defesa Agropecuária do Estado do Paraná (ADAPAR), Associação de Moradores do Mossungue, Câmaras, Comissão de Direitos dos Refugiados e Migrantes da OAB, Companhia de Desenvolvimento Agropecuário do Paraná (CODAPAR), DEPEN, Escola de Administração Fazendária (ESAF), Escola de Governo do Paraná/SEAP, Grupo de Educação Fiscal Estadual/PR (GEFE), Instituto de Aposentadorias e Pensões de Campo Largo (FAPEN), Instituto de Engenharia do Paraná, Instituto de Previdência de Fazenda Rio Grande, Lions Internacional, Secretaria de Estado da Fazenda (SEF), Secretaria de Estado da Saúde, Secretaria de Estado da Segurança Pública e Administração Penitenciária, Secretaria de Estado do Trabalho e Desenvolvimento Social, Instituições Privadas e sociedade Civil (Advogados, acadêmicos, empresários, jornalista, contadores).</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Local: Conselho Regional de Contabilidade (CRC/PR), na Rua XV de Novembro, 2987, Alto da XV.</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Alessandro José Fernandes de Oliveira, procurador Chefe Substituto do MPF e Coordenador da Rede de Controle no Paraná abriu os trabalhos na companhia de autoridades, representantes de diversas instituições estaduais e federais - partícipes da Rede -, saudando a todos os presentes.</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Ainda na abertura do encontro, o procurador-geral de Justiça, Gilberto Giacoia, entregou simbolicamente ao procurador da República Alessandro José Fernandes de Oliveira, parte das 10 mil assinaturas coletadas pelo MPPR em apoio à campanha </w:t>
      </w:r>
      <w:r>
        <w:rPr>
          <w:rFonts w:cs="Arial"/>
          <w:b/>
          <w:bCs/>
          <w:color w:val="333333"/>
          <w:sz w:val="24"/>
          <w:szCs w:val="24"/>
          <w:lang w:eastAsia="pt-BR"/>
        </w:rPr>
        <w:t>“10 Medidas Contra a Corrupção”</w:t>
      </w:r>
      <w:r>
        <w:rPr>
          <w:rFonts w:cs="Arial"/>
          <w:color w:val="333333"/>
          <w:sz w:val="24"/>
          <w:szCs w:val="24"/>
          <w:lang w:eastAsia="pt-BR"/>
        </w:rPr>
        <w:t>, desenvolvida pelo Ministério Público Federal, com apoio do MPPR, que tem o intuito de apresentar ao Congresso Nacional um projeto de iniciativa popular com propostas de mudanças na legislação que ajudem no combate à corrupção.</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No evento, houve consenso entre os palestrantes sobre a necessidade de mudanças na legislação para melhorar o combate à corrupção no país. Foi destacada, ainda, a importância da fiscalização da gestão pública também por parte da sociedade civil.</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No período da manhã, o painel </w:t>
      </w:r>
      <w:r>
        <w:rPr>
          <w:rFonts w:cs="Arial"/>
          <w:b/>
          <w:bCs/>
          <w:color w:val="333333"/>
          <w:sz w:val="24"/>
          <w:szCs w:val="24"/>
          <w:lang w:eastAsia="pt-BR"/>
        </w:rPr>
        <w:t>“Propostas de Melhoria na Legislação de Combate ao Crime Organizado e à Lavagem de Dinheiro”</w:t>
      </w:r>
      <w:r>
        <w:rPr>
          <w:rFonts w:cs="Arial"/>
          <w:color w:val="333333"/>
          <w:sz w:val="24"/>
          <w:szCs w:val="24"/>
          <w:lang w:eastAsia="pt-BR"/>
        </w:rPr>
        <w:t> teve a participação do procurador da República </w:t>
      </w:r>
      <w:r>
        <w:rPr>
          <w:rFonts w:cs="Arial"/>
          <w:b/>
          <w:bCs/>
          <w:color w:val="333333"/>
          <w:sz w:val="24"/>
          <w:szCs w:val="24"/>
          <w:lang w:eastAsia="pt-BR"/>
        </w:rPr>
        <w:t>Athayde Ribeiro Costa</w:t>
      </w:r>
      <w:r>
        <w:rPr>
          <w:rFonts w:cs="Arial"/>
          <w:color w:val="333333"/>
          <w:sz w:val="24"/>
          <w:szCs w:val="24"/>
          <w:lang w:eastAsia="pt-BR"/>
        </w:rPr>
        <w:t>, que atua na </w:t>
      </w:r>
      <w:r>
        <w:rPr>
          <w:rFonts w:cs="Arial"/>
          <w:b/>
          <w:bCs/>
          <w:color w:val="333333"/>
          <w:sz w:val="24"/>
          <w:szCs w:val="24"/>
          <w:lang w:eastAsia="pt-BR"/>
        </w:rPr>
        <w:t>Operação Lava Jato,</w:t>
      </w:r>
      <w:r>
        <w:rPr>
          <w:rFonts w:cs="Arial"/>
          <w:color w:val="333333"/>
          <w:sz w:val="24"/>
          <w:szCs w:val="24"/>
          <w:lang w:eastAsia="pt-BR"/>
        </w:rPr>
        <w:t> e do promotor de Justiça </w:t>
      </w:r>
      <w:r>
        <w:rPr>
          <w:rFonts w:cs="Arial"/>
          <w:b/>
          <w:bCs/>
          <w:color w:val="333333"/>
          <w:sz w:val="24"/>
          <w:szCs w:val="24"/>
          <w:lang w:eastAsia="pt-BR"/>
        </w:rPr>
        <w:t>Renato de Lima Castro,</w:t>
      </w:r>
      <w:r>
        <w:rPr>
          <w:rFonts w:cs="Arial"/>
          <w:color w:val="333333"/>
          <w:sz w:val="24"/>
          <w:szCs w:val="24"/>
          <w:lang w:eastAsia="pt-BR"/>
        </w:rPr>
        <w:t>que atua na </w:t>
      </w:r>
      <w:r>
        <w:rPr>
          <w:rFonts w:cs="Arial"/>
          <w:b/>
          <w:bCs/>
          <w:color w:val="333333"/>
          <w:sz w:val="24"/>
          <w:szCs w:val="24"/>
          <w:lang w:eastAsia="pt-BR"/>
        </w:rPr>
        <w:t>Operação Publicano</w:t>
      </w:r>
      <w:r>
        <w:rPr>
          <w:rFonts w:cs="Arial"/>
          <w:color w:val="333333"/>
          <w:sz w:val="24"/>
          <w:szCs w:val="24"/>
          <w:lang w:eastAsia="pt-BR"/>
        </w:rPr>
        <w:t>, além do delegado da Polícia Federal no Paraná, </w:t>
      </w:r>
      <w:r>
        <w:rPr>
          <w:rFonts w:cs="Arial"/>
          <w:b/>
          <w:bCs/>
          <w:color w:val="333333"/>
          <w:sz w:val="24"/>
          <w:szCs w:val="24"/>
          <w:lang w:eastAsia="pt-BR"/>
        </w:rPr>
        <w:t>Márcio Adriano Anselmo</w:t>
      </w:r>
      <w:r>
        <w:rPr>
          <w:rFonts w:cs="Arial"/>
          <w:color w:val="333333"/>
          <w:sz w:val="24"/>
          <w:szCs w:val="24"/>
          <w:lang w:eastAsia="pt-BR"/>
        </w:rPr>
        <w:t> (Lava Jato), e do delegado da Polícia Civil do Paraná </w:t>
      </w:r>
      <w:r>
        <w:rPr>
          <w:rFonts w:cs="Arial"/>
          <w:b/>
          <w:bCs/>
          <w:color w:val="333333"/>
          <w:sz w:val="24"/>
          <w:szCs w:val="24"/>
          <w:lang w:eastAsia="pt-BR"/>
        </w:rPr>
        <w:t>Alexandre Rorato Maciel</w:t>
      </w:r>
      <w:r>
        <w:rPr>
          <w:rFonts w:cs="Arial"/>
          <w:color w:val="333333"/>
          <w:sz w:val="24"/>
          <w:szCs w:val="24"/>
          <w:lang w:eastAsia="pt-BR"/>
        </w:rPr>
        <w:t>, que atua na Corregedoria da Corporação.</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b/>
          <w:bCs/>
          <w:color w:val="333333"/>
          <w:sz w:val="24"/>
          <w:szCs w:val="24"/>
          <w:lang w:eastAsia="pt-BR"/>
        </w:rPr>
        <w:t>Lava Jato</w:t>
      </w:r>
      <w:r>
        <w:rPr>
          <w:rFonts w:cs="Arial"/>
          <w:color w:val="333333"/>
          <w:sz w:val="24"/>
          <w:szCs w:val="24"/>
          <w:lang w:eastAsia="pt-BR"/>
        </w:rPr>
        <w:t> – Após apresentar dados da Operação Lava Jato, </w:t>
      </w:r>
      <w:r>
        <w:rPr>
          <w:rFonts w:cs="Arial"/>
          <w:b/>
          <w:bCs/>
          <w:color w:val="333333"/>
          <w:sz w:val="24"/>
          <w:szCs w:val="24"/>
          <w:lang w:eastAsia="pt-BR"/>
        </w:rPr>
        <w:t>Athayde Costa</w:t>
      </w:r>
      <w:r>
        <w:rPr>
          <w:rFonts w:cs="Arial"/>
          <w:color w:val="333333"/>
          <w:sz w:val="24"/>
          <w:szCs w:val="24"/>
          <w:lang w:eastAsia="pt-BR"/>
        </w:rPr>
        <w:t> afirmou que o Brasil perde, segundo estimativa da Organização das Nações Unidas, R$ 200 bilhões ao ano por conta da corrupção. Tal montante, afirmou, seria suficiente para tirar da miséria todos os 10 milhões de brasileiros que estão nessa situação. Apesar do relativo sucesso da Lava Jato, entretanto, o procurador da República acredita que ela não será suficiente para superar o contexto de corrupção no país se não houver profundas mudanças na legislação – daí a campanha em favor das “</w:t>
      </w:r>
      <w:r>
        <w:rPr>
          <w:rFonts w:cs="Arial"/>
          <w:i/>
          <w:color w:val="333333"/>
          <w:sz w:val="24"/>
          <w:szCs w:val="24"/>
          <w:lang w:eastAsia="pt-BR"/>
        </w:rPr>
        <w:t>10 Medidas Contra a Corrupção</w:t>
      </w:r>
      <w:r>
        <w:rPr>
          <w:rFonts w:cs="Arial"/>
          <w:color w:val="333333"/>
          <w:sz w:val="24"/>
          <w:szCs w:val="24"/>
          <w:lang w:eastAsia="pt-BR"/>
        </w:rPr>
        <w:t>”. “Nosso sistema favorece a impunidade. A corrupção é um crime difícil de descobrir, pois acontece entre quatro paredes. É um crime racional, planejado. Temos que transformar a corrupção em um crime que não compensa”, sustentou.</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O promotor de Justiça </w:t>
      </w:r>
      <w:r>
        <w:rPr>
          <w:rFonts w:cs="Arial"/>
          <w:b/>
          <w:bCs/>
          <w:color w:val="333333"/>
          <w:sz w:val="24"/>
          <w:szCs w:val="24"/>
          <w:lang w:eastAsia="pt-BR"/>
        </w:rPr>
        <w:t>Renato de Lima Castro </w:t>
      </w:r>
      <w:r>
        <w:rPr>
          <w:rFonts w:cs="Arial"/>
          <w:color w:val="333333"/>
          <w:sz w:val="24"/>
          <w:szCs w:val="24"/>
          <w:lang w:eastAsia="pt-BR"/>
        </w:rPr>
        <w:t>fez um relato da </w:t>
      </w:r>
      <w:r>
        <w:rPr>
          <w:rFonts w:cs="Arial"/>
          <w:b/>
          <w:bCs/>
          <w:color w:val="333333"/>
          <w:sz w:val="24"/>
          <w:szCs w:val="24"/>
          <w:lang w:eastAsia="pt-BR"/>
        </w:rPr>
        <w:t>Operação Publicano</w:t>
      </w:r>
      <w:r>
        <w:rPr>
          <w:rFonts w:cs="Arial"/>
          <w:color w:val="333333"/>
          <w:sz w:val="24"/>
          <w:szCs w:val="24"/>
          <w:lang w:eastAsia="pt-BR"/>
        </w:rPr>
        <w:t>, que investiga um esquema de corrupção envolvendo fiscais da Receita Estadual. Castro contou que um dos presos que fez acordo de delação premiada informou que o esquema de corrupção existia havia pelo menos três décadas. Estima-se que os envolvidos recebiam cerca de R$ 40 milhões por ano em propina. Até o momento, como fruto da operação, houve revisão fiscal envolvendo 18 empresas, com autuações que chegaram a R$ 120 milhões – ainda há outras 50 empresas que serão submetidas à revisão fiscal, o que poderá gerar autuações em montantes entre R$ 700 milhões e R$ 800 milhões.</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Destacando a necessidade de integração das ações da Polícia Federal em todo o país, o delegado da Polícia Federal </w:t>
      </w:r>
      <w:r>
        <w:rPr>
          <w:rFonts w:cs="Arial"/>
          <w:b/>
          <w:bCs/>
          <w:color w:val="333333"/>
          <w:sz w:val="24"/>
          <w:szCs w:val="24"/>
          <w:lang w:eastAsia="pt-BR"/>
        </w:rPr>
        <w:t xml:space="preserve">Márcio Adriano Anselmo </w:t>
      </w:r>
      <w:r>
        <w:rPr>
          <w:rFonts w:cs="Arial"/>
          <w:color w:val="333333"/>
          <w:sz w:val="24"/>
          <w:szCs w:val="24"/>
          <w:lang w:eastAsia="pt-BR"/>
        </w:rPr>
        <w:t>defendeu a criação de um fundo nacional de combate à corrupção. Sustentou também que é preciso repensar a questão do foro privilegiado, que tem dificultado a condenação de muitos acusados de corrupção. “Temos apenas 1,5 mil pessoas presas por crimes contra a administração pública no Brasil”, lamentou.</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Autor da obra “</w:t>
      </w:r>
      <w:r>
        <w:rPr>
          <w:rFonts w:cs="Arial"/>
          <w:b/>
          <w:color w:val="333333"/>
          <w:sz w:val="24"/>
          <w:szCs w:val="24"/>
          <w:lang w:eastAsia="pt-BR"/>
        </w:rPr>
        <w:t>Crime Organizado - Persecução Penal e Política Criminal</w:t>
      </w:r>
      <w:r>
        <w:rPr>
          <w:rFonts w:cs="Arial"/>
          <w:color w:val="333333"/>
          <w:sz w:val="24"/>
          <w:szCs w:val="24"/>
          <w:lang w:eastAsia="pt-BR"/>
        </w:rPr>
        <w:t>”, o delegado da Polícia Civil do Paraná </w:t>
      </w:r>
      <w:r>
        <w:rPr>
          <w:rFonts w:cs="Arial"/>
          <w:b/>
          <w:bCs/>
          <w:color w:val="333333"/>
          <w:sz w:val="24"/>
          <w:szCs w:val="24"/>
          <w:lang w:eastAsia="pt-BR"/>
        </w:rPr>
        <w:t>Alexandre Rorato Maciel</w:t>
      </w:r>
      <w:r>
        <w:rPr>
          <w:rFonts w:cs="Arial"/>
          <w:color w:val="333333"/>
          <w:sz w:val="24"/>
          <w:szCs w:val="24"/>
          <w:lang w:eastAsia="pt-BR"/>
        </w:rPr>
        <w:t> comentou algumas medidas de combate à corrupção que poderiam ser tomadas no país e das quais tratou no seu livro. Destacou especialmente a necessidade de criação de um banco de dados integrado, único e confiável para uso de todas as polícias no Brasil. Criticou ainda o fato de hoje ser possível a qualquer pessoa ter um documento de identidade diferente em cada unidade da Federação, o que dificulta o trabalho de identificação da polícia nas investigações.</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b/>
          <w:bCs/>
          <w:color w:val="333333"/>
          <w:sz w:val="24"/>
          <w:szCs w:val="24"/>
          <w:lang w:eastAsia="pt-BR"/>
        </w:rPr>
        <w:t>Controle da sociedade -</w:t>
      </w:r>
      <w:r>
        <w:rPr>
          <w:rFonts w:cs="Arial"/>
          <w:color w:val="333333"/>
          <w:sz w:val="24"/>
          <w:szCs w:val="24"/>
          <w:lang w:eastAsia="pt-BR"/>
        </w:rPr>
        <w:t xml:space="preserve"> No período da tarde, formou-se uma mesa redonda com o tema </w:t>
      </w:r>
      <w:r>
        <w:rPr>
          <w:rFonts w:cs="Arial"/>
          <w:b/>
          <w:bCs/>
          <w:color w:val="333333"/>
          <w:sz w:val="24"/>
          <w:szCs w:val="24"/>
          <w:lang w:eastAsia="pt-BR"/>
        </w:rPr>
        <w:t>“O papel da sociedade civil no controle social”</w:t>
      </w:r>
      <w:r>
        <w:rPr>
          <w:rFonts w:cs="Arial"/>
          <w:color w:val="333333"/>
          <w:sz w:val="24"/>
          <w:szCs w:val="24"/>
          <w:lang w:eastAsia="pt-BR"/>
        </w:rPr>
        <w:t>, para apresentação de iniciativas de controle da gestão pública e combate à corrupção. O procurador de Justiça</w:t>
      </w:r>
      <w:r>
        <w:rPr>
          <w:rFonts w:cs="Arial"/>
          <w:b/>
          <w:bCs/>
          <w:color w:val="333333"/>
          <w:sz w:val="24"/>
          <w:szCs w:val="24"/>
          <w:lang w:eastAsia="pt-BR"/>
        </w:rPr>
        <w:t> Bruno Galati, </w:t>
      </w:r>
      <w:r>
        <w:rPr>
          <w:rFonts w:cs="Arial"/>
          <w:color w:val="333333"/>
          <w:sz w:val="24"/>
          <w:szCs w:val="24"/>
          <w:lang w:eastAsia="pt-BR"/>
        </w:rPr>
        <w:t>subprocurador-geral de Justiça para Assuntos de Planejamento Institucional do Ministério Público do Paraná e secretário da Rede de Controle da Gestão Pública, discorreu brevemente sobre o trabalho da Rede, especialmente na fiscalização do cumprimento da Lei da Transparência pelas prefeituras e câmaras municipais. Apresentou dados do projeto </w:t>
      </w:r>
      <w:r>
        <w:rPr>
          <w:rFonts w:cs="Arial"/>
          <w:b/>
          <w:bCs/>
          <w:color w:val="333333"/>
          <w:sz w:val="24"/>
          <w:szCs w:val="24"/>
          <w:lang w:eastAsia="pt-BR"/>
        </w:rPr>
        <w:t>“Transparência dos Municípios”</w:t>
      </w:r>
      <w:r>
        <w:rPr>
          <w:rFonts w:cs="Arial"/>
          <w:color w:val="333333"/>
          <w:sz w:val="24"/>
          <w:szCs w:val="24"/>
          <w:lang w:eastAsia="pt-BR"/>
        </w:rPr>
        <w:t>, realizado pela Rede e pelo MPPR, que tem atuado junto às prefeituras e câmaras de vereadores buscando a adequação dos portais de transparência às exigências de legislação, e mais do que isso, torná-los facilmente acessíveis a qualquer cidadão. Nesse sentido, Galati alertou sobre a necessidade de que a sociedade participe da fiscalização dos atos do poder público.</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Em seguida, o vice-presidente da Oscip </w:t>
      </w:r>
      <w:r>
        <w:rPr>
          <w:rFonts w:cs="Arial"/>
          <w:b/>
          <w:bCs/>
          <w:color w:val="333333"/>
          <w:sz w:val="24"/>
          <w:szCs w:val="24"/>
          <w:lang w:eastAsia="pt-BR"/>
        </w:rPr>
        <w:t>“Amarribo Brasil”</w:t>
      </w:r>
      <w:r>
        <w:rPr>
          <w:rFonts w:cs="Arial"/>
          <w:color w:val="333333"/>
          <w:sz w:val="24"/>
          <w:szCs w:val="24"/>
          <w:lang w:eastAsia="pt-BR"/>
        </w:rPr>
        <w:t>, </w:t>
      </w:r>
      <w:r>
        <w:rPr>
          <w:rFonts w:cs="Arial"/>
          <w:b/>
          <w:bCs/>
          <w:color w:val="333333"/>
          <w:sz w:val="24"/>
          <w:szCs w:val="24"/>
          <w:lang w:eastAsia="pt-BR"/>
        </w:rPr>
        <w:t>José Chizzotti, </w:t>
      </w:r>
      <w:r>
        <w:rPr>
          <w:rFonts w:cs="Arial"/>
          <w:color w:val="333333"/>
          <w:sz w:val="24"/>
          <w:szCs w:val="24"/>
          <w:lang w:eastAsia="pt-BR"/>
        </w:rPr>
        <w:t>contou algumas das ações da instituição, dedicada ao combate à corrupção. Citou casos concretos em que a organização conseguiu a cassação de políticos envolvidos em atos de improbidade administrativa. O vice-presidente do </w:t>
      </w:r>
      <w:r>
        <w:rPr>
          <w:rFonts w:cs="Arial"/>
          <w:b/>
          <w:bCs/>
          <w:color w:val="333333"/>
          <w:sz w:val="24"/>
          <w:szCs w:val="24"/>
          <w:lang w:eastAsia="pt-BR"/>
        </w:rPr>
        <w:t>Observatório Social do Brasil</w:t>
      </w:r>
      <w:r>
        <w:rPr>
          <w:rFonts w:cs="Arial"/>
          <w:color w:val="333333"/>
          <w:sz w:val="24"/>
          <w:szCs w:val="24"/>
          <w:lang w:eastAsia="pt-BR"/>
        </w:rPr>
        <w:t> – instituição sem fins lucrativos que atua principalmente no monitoramento das compras públicas em nível municipal –, </w:t>
      </w:r>
      <w:r>
        <w:rPr>
          <w:rFonts w:cs="Arial"/>
          <w:b/>
          <w:bCs/>
          <w:color w:val="333333"/>
          <w:sz w:val="24"/>
          <w:szCs w:val="24"/>
          <w:lang w:eastAsia="pt-BR"/>
        </w:rPr>
        <w:t>Ney da Nóbrega Ribas</w:t>
      </w:r>
      <w:r>
        <w:rPr>
          <w:rFonts w:cs="Arial"/>
          <w:color w:val="333333"/>
          <w:sz w:val="24"/>
          <w:szCs w:val="24"/>
          <w:lang w:eastAsia="pt-BR"/>
        </w:rPr>
        <w:t>, relatou também ações bem sucedidas da organização, destacando a importância da participação de toda a sociedade na fiscalização da gestão pública.</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Por sua vez, o engenheiro civil </w:t>
      </w:r>
      <w:r>
        <w:rPr>
          <w:rFonts w:cs="Arial"/>
          <w:b/>
          <w:bCs/>
          <w:color w:val="333333"/>
          <w:sz w:val="24"/>
          <w:szCs w:val="24"/>
          <w:lang w:eastAsia="pt-BR"/>
        </w:rPr>
        <w:t>Jamil Assis</w:t>
      </w:r>
      <w:r>
        <w:rPr>
          <w:rFonts w:cs="Arial"/>
          <w:color w:val="333333"/>
          <w:sz w:val="24"/>
          <w:szCs w:val="24"/>
          <w:lang w:eastAsia="pt-BR"/>
        </w:rPr>
        <w:t> relatou como surgiu a ONG</w:t>
      </w:r>
      <w:r>
        <w:rPr>
          <w:rFonts w:cs="Arial"/>
          <w:b/>
          <w:bCs/>
          <w:color w:val="333333"/>
          <w:sz w:val="24"/>
          <w:szCs w:val="24"/>
          <w:lang w:eastAsia="pt-BR"/>
        </w:rPr>
        <w:t> Instituto Atuação</w:t>
      </w:r>
      <w:r>
        <w:rPr>
          <w:rFonts w:cs="Arial"/>
          <w:color w:val="333333"/>
          <w:sz w:val="24"/>
          <w:szCs w:val="24"/>
          <w:lang w:eastAsia="pt-BR"/>
        </w:rPr>
        <w:t>, destacando o projeto da instituição para melhorar a participação democrática em Curitiba, tendo por base indicadores específicos, como o “índice de democracia” criado pela “The Economist Intelligence Unit”. A ONG trabalha com um planejamento estratégico que prevê, até 2020, diversas ações e eventos buscando melhorar a participação política dos curitibanos, com vistas a fazer da capital paranaense um modelo de cidade democrática.</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t>Finalizando o painel, o presidente da Comissão de Gestão Pública e Assuntos da Administração da </w:t>
      </w:r>
      <w:r>
        <w:rPr>
          <w:rFonts w:cs="Arial"/>
          <w:b/>
          <w:bCs/>
          <w:color w:val="333333"/>
          <w:sz w:val="24"/>
          <w:szCs w:val="24"/>
          <w:lang w:eastAsia="pt-BR"/>
        </w:rPr>
        <w:t>Ordem dos Advogados do Brasil </w:t>
      </w:r>
      <w:r>
        <w:rPr>
          <w:rFonts w:cs="Arial"/>
          <w:color w:val="333333"/>
          <w:sz w:val="24"/>
          <w:szCs w:val="24"/>
          <w:lang w:eastAsia="pt-BR"/>
        </w:rPr>
        <w:t xml:space="preserve">– Seção do Paraná, </w:t>
      </w:r>
      <w:r>
        <w:rPr>
          <w:rFonts w:cs="Arial"/>
          <w:b/>
          <w:bCs/>
          <w:color w:val="333333"/>
          <w:sz w:val="24"/>
          <w:szCs w:val="24"/>
          <w:lang w:eastAsia="pt-BR"/>
        </w:rPr>
        <w:t>Luciano Elias Reis</w:t>
      </w:r>
      <w:r>
        <w:rPr>
          <w:rFonts w:cs="Arial"/>
          <w:color w:val="333333"/>
          <w:sz w:val="24"/>
          <w:szCs w:val="24"/>
          <w:lang w:eastAsia="pt-BR"/>
        </w:rPr>
        <w:t>, detalhou o trabalho desenvolvido pela OAB-PR na verificação da regularidade dos portais de transparência de entes públicos estaduais.</w:t>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jc w:val="both"/>
        <w:rPr>
          <w:rFonts w:cs="Arial"/>
          <w:color w:val="333333"/>
          <w:sz w:val="24"/>
          <w:szCs w:val="24"/>
          <w:lang w:eastAsia="pt-BR"/>
        </w:rPr>
      </w:pPr>
      <w:r>
        <w:rPr>
          <w:rFonts w:cs="Arial"/>
          <w:color w:val="333333"/>
          <w:sz w:val="24"/>
          <w:szCs w:val="24"/>
          <w:lang w:eastAsia="pt-BR"/>
        </w:rPr>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82110" cy="2791460"/>
                <wp:effectExtent l="0" t="0" r="0" b="0"/>
                <wp:docPr id="6" name="Imagem 15"/>
                <a:graphic xmlns:a="http://schemas.openxmlformats.org/drawingml/2006/main">
                  <a:graphicData uri="http://schemas.openxmlformats.org/drawingml/2006/picture">
                    <pic:pic xmlns:pic="http://schemas.openxmlformats.org/drawingml/2006/picture">
                      <pic:nvPicPr>
                        <pic:cNvPr id="5" name="Imagem 15" descr=""/>
                        <pic:cNvPicPr/>
                      </pic:nvPicPr>
                      <pic:blipFill>
                        <a:blip r:embed="rId8"/>
                        <a:stretch/>
                      </pic:blipFill>
                      <pic:spPr>
                        <a:xfrm>
                          <a:off x="0" y="0"/>
                          <a:ext cx="4181400" cy="2790720"/>
                        </a:xfrm>
                        <a:prstGeom prst="rect">
                          <a:avLst/>
                        </a:prstGeom>
                        <a:ln>
                          <a:noFill/>
                        </a:ln>
                      </pic:spPr>
                    </pic:pic>
                  </a:graphicData>
                </a:graphic>
              </wp:inline>
            </w:drawing>
          </mc:Choice>
          <mc:Fallback>
            <w:pict>
              <v:shape id="shape_0" ID="Imagem 15" stroked="f" style="position:absolute;margin-left:0pt;margin-top:-219.8pt;width:329.2pt;height:219.7pt;mso-position-vertical:top" type="shapetype_75">
                <v:imagedata r:id="rId8"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br/>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91635" cy="2791460"/>
                <wp:effectExtent l="0" t="0" r="0" b="0"/>
                <wp:docPr id="7" name="Imagem 14"/>
                <a:graphic xmlns:a="http://schemas.openxmlformats.org/drawingml/2006/main">
                  <a:graphicData uri="http://schemas.openxmlformats.org/drawingml/2006/picture">
                    <pic:pic xmlns:pic="http://schemas.openxmlformats.org/drawingml/2006/picture">
                      <pic:nvPicPr>
                        <pic:cNvPr id="6" name="Imagem 14" descr=""/>
                        <pic:cNvPicPr/>
                      </pic:nvPicPr>
                      <pic:blipFill>
                        <a:blip r:embed="rId9"/>
                        <a:stretch/>
                      </pic:blipFill>
                      <pic:spPr>
                        <a:xfrm>
                          <a:off x="0" y="0"/>
                          <a:ext cx="4191120" cy="2790720"/>
                        </a:xfrm>
                        <a:prstGeom prst="rect">
                          <a:avLst/>
                        </a:prstGeom>
                        <a:ln>
                          <a:noFill/>
                        </a:ln>
                      </pic:spPr>
                    </pic:pic>
                  </a:graphicData>
                </a:graphic>
              </wp:inline>
            </w:drawing>
          </mc:Choice>
          <mc:Fallback>
            <w:pict>
              <v:shape id="shape_0" ID="Imagem 14" stroked="f" style="position:absolute;margin-left:0pt;margin-top:-219.8pt;width:329.95pt;height:219.7pt;mso-position-vertical:top" type="shapetype_75">
                <v:imagedata r:id="rId9"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t> </w:t>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91635" cy="2791460"/>
                <wp:effectExtent l="0" t="0" r="0" b="0"/>
                <wp:docPr id="8" name="Imagem 13"/>
                <a:graphic xmlns:a="http://schemas.openxmlformats.org/drawingml/2006/main">
                  <a:graphicData uri="http://schemas.openxmlformats.org/drawingml/2006/picture">
                    <pic:pic xmlns:pic="http://schemas.openxmlformats.org/drawingml/2006/picture">
                      <pic:nvPicPr>
                        <pic:cNvPr id="7" name="Imagem 13" descr=""/>
                        <pic:cNvPicPr/>
                      </pic:nvPicPr>
                      <pic:blipFill>
                        <a:blip r:embed="rId10"/>
                        <a:stretch/>
                      </pic:blipFill>
                      <pic:spPr>
                        <a:xfrm>
                          <a:off x="0" y="0"/>
                          <a:ext cx="4191120" cy="2790720"/>
                        </a:xfrm>
                        <a:prstGeom prst="rect">
                          <a:avLst/>
                        </a:prstGeom>
                        <a:ln>
                          <a:noFill/>
                        </a:ln>
                      </pic:spPr>
                    </pic:pic>
                  </a:graphicData>
                </a:graphic>
              </wp:inline>
            </w:drawing>
          </mc:Choice>
          <mc:Fallback>
            <w:pict>
              <v:shape id="shape_0" ID="Imagem 13" stroked="f" style="position:absolute;margin-left:0pt;margin-top:-219.8pt;width:329.95pt;height:219.7pt;mso-position-vertical:top" type="shapetype_75">
                <v:imagedata r:id="rId10"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t> </w:t>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91635" cy="2791460"/>
                <wp:effectExtent l="0" t="0" r="0" b="0"/>
                <wp:docPr id="9" name="Imagem 12"/>
                <a:graphic xmlns:a="http://schemas.openxmlformats.org/drawingml/2006/main">
                  <a:graphicData uri="http://schemas.openxmlformats.org/drawingml/2006/picture">
                    <pic:pic xmlns:pic="http://schemas.openxmlformats.org/drawingml/2006/picture">
                      <pic:nvPicPr>
                        <pic:cNvPr id="8" name="Imagem 12" descr=""/>
                        <pic:cNvPicPr/>
                      </pic:nvPicPr>
                      <pic:blipFill>
                        <a:blip r:embed="rId11"/>
                        <a:stretch/>
                      </pic:blipFill>
                      <pic:spPr>
                        <a:xfrm>
                          <a:off x="0" y="0"/>
                          <a:ext cx="4191120" cy="2790720"/>
                        </a:xfrm>
                        <a:prstGeom prst="rect">
                          <a:avLst/>
                        </a:prstGeom>
                        <a:ln>
                          <a:noFill/>
                        </a:ln>
                      </pic:spPr>
                    </pic:pic>
                  </a:graphicData>
                </a:graphic>
              </wp:inline>
            </w:drawing>
          </mc:Choice>
          <mc:Fallback>
            <w:pict>
              <v:shape id="shape_0" ID="Imagem 12" stroked="f" style="position:absolute;margin-left:0pt;margin-top:-219.8pt;width:329.95pt;height:219.7pt;mso-position-vertical:top" type="shapetype_75">
                <v:imagedata r:id="rId11"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t> </w:t>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91635" cy="2791460"/>
                <wp:effectExtent l="0" t="0" r="0" b="0"/>
                <wp:docPr id="10" name="Imagem 11"/>
                <a:graphic xmlns:a="http://schemas.openxmlformats.org/drawingml/2006/main">
                  <a:graphicData uri="http://schemas.openxmlformats.org/drawingml/2006/picture">
                    <pic:pic xmlns:pic="http://schemas.openxmlformats.org/drawingml/2006/picture">
                      <pic:nvPicPr>
                        <pic:cNvPr id="9" name="Imagem 11" descr=""/>
                        <pic:cNvPicPr/>
                      </pic:nvPicPr>
                      <pic:blipFill>
                        <a:blip r:embed="rId12"/>
                        <a:stretch/>
                      </pic:blipFill>
                      <pic:spPr>
                        <a:xfrm>
                          <a:off x="0" y="0"/>
                          <a:ext cx="4191120" cy="2790720"/>
                        </a:xfrm>
                        <a:prstGeom prst="rect">
                          <a:avLst/>
                        </a:prstGeom>
                        <a:ln>
                          <a:noFill/>
                        </a:ln>
                      </pic:spPr>
                    </pic:pic>
                  </a:graphicData>
                </a:graphic>
              </wp:inline>
            </w:drawing>
          </mc:Choice>
          <mc:Fallback>
            <w:pict>
              <v:shape id="shape_0" ID="Imagem 11" stroked="f" style="position:absolute;margin-left:0pt;margin-top:-219.8pt;width:329.95pt;height:219.7pt;mso-position-vertical:top" type="shapetype_75">
                <v:imagedata r:id="rId12"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t> </w:t>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91635" cy="2791460"/>
                <wp:effectExtent l="0" t="0" r="0" b="0"/>
                <wp:docPr id="11" name="Imagem 10"/>
                <a:graphic xmlns:a="http://schemas.openxmlformats.org/drawingml/2006/main">
                  <a:graphicData uri="http://schemas.openxmlformats.org/drawingml/2006/picture">
                    <pic:pic xmlns:pic="http://schemas.openxmlformats.org/drawingml/2006/picture">
                      <pic:nvPicPr>
                        <pic:cNvPr id="10" name="Imagem 10" descr=""/>
                        <pic:cNvPicPr/>
                      </pic:nvPicPr>
                      <pic:blipFill>
                        <a:blip r:embed="rId13"/>
                        <a:stretch/>
                      </pic:blipFill>
                      <pic:spPr>
                        <a:xfrm>
                          <a:off x="0" y="0"/>
                          <a:ext cx="4191120" cy="2790720"/>
                        </a:xfrm>
                        <a:prstGeom prst="rect">
                          <a:avLst/>
                        </a:prstGeom>
                        <a:ln>
                          <a:noFill/>
                        </a:ln>
                      </pic:spPr>
                    </pic:pic>
                  </a:graphicData>
                </a:graphic>
              </wp:inline>
            </w:drawing>
          </mc:Choice>
          <mc:Fallback>
            <w:pict>
              <v:shape id="shape_0" ID="Imagem 10" stroked="f" style="position:absolute;margin-left:0pt;margin-top:-219.8pt;width:329.95pt;height:219.7pt;mso-position-vertical:top" type="shapetype_75">
                <v:imagedata r:id="rId13"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t> </w:t>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91635" cy="2791460"/>
                <wp:effectExtent l="0" t="0" r="0" b="0"/>
                <wp:docPr id="12" name="Imagem 9"/>
                <a:graphic xmlns:a="http://schemas.openxmlformats.org/drawingml/2006/main">
                  <a:graphicData uri="http://schemas.openxmlformats.org/drawingml/2006/picture">
                    <pic:pic xmlns:pic="http://schemas.openxmlformats.org/drawingml/2006/picture">
                      <pic:nvPicPr>
                        <pic:cNvPr id="11" name="Imagem 9" descr=""/>
                        <pic:cNvPicPr/>
                      </pic:nvPicPr>
                      <pic:blipFill>
                        <a:blip r:embed="rId14"/>
                        <a:stretch/>
                      </pic:blipFill>
                      <pic:spPr>
                        <a:xfrm>
                          <a:off x="0" y="0"/>
                          <a:ext cx="4191120" cy="2790720"/>
                        </a:xfrm>
                        <a:prstGeom prst="rect">
                          <a:avLst/>
                        </a:prstGeom>
                        <a:ln>
                          <a:noFill/>
                        </a:ln>
                      </pic:spPr>
                    </pic:pic>
                  </a:graphicData>
                </a:graphic>
              </wp:inline>
            </w:drawing>
          </mc:Choice>
          <mc:Fallback>
            <w:pict>
              <v:shape id="shape_0" ID="Imagem 9" stroked="f" style="position:absolute;margin-left:0pt;margin-top:-219.8pt;width:329.95pt;height:219.7pt;mso-position-vertical:top" type="shapetype_75">
                <v:imagedata r:id="rId14"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t> </w:t>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91635" cy="2791460"/>
                <wp:effectExtent l="0" t="0" r="0" b="0"/>
                <wp:docPr id="13" name="Imagem 8"/>
                <a:graphic xmlns:a="http://schemas.openxmlformats.org/drawingml/2006/main">
                  <a:graphicData uri="http://schemas.openxmlformats.org/drawingml/2006/picture">
                    <pic:pic xmlns:pic="http://schemas.openxmlformats.org/drawingml/2006/picture">
                      <pic:nvPicPr>
                        <pic:cNvPr id="12" name="Imagem 8" descr=""/>
                        <pic:cNvPicPr/>
                      </pic:nvPicPr>
                      <pic:blipFill>
                        <a:blip r:embed="rId15"/>
                        <a:stretch/>
                      </pic:blipFill>
                      <pic:spPr>
                        <a:xfrm>
                          <a:off x="0" y="0"/>
                          <a:ext cx="4191120" cy="2790720"/>
                        </a:xfrm>
                        <a:prstGeom prst="rect">
                          <a:avLst/>
                        </a:prstGeom>
                        <a:ln>
                          <a:noFill/>
                        </a:ln>
                      </pic:spPr>
                    </pic:pic>
                  </a:graphicData>
                </a:graphic>
              </wp:inline>
            </w:drawing>
          </mc:Choice>
          <mc:Fallback>
            <w:pict>
              <v:shape id="shape_0" ID="Imagem 8" stroked="f" style="position:absolute;margin-left:0pt;margin-top:-219.8pt;width:329.95pt;height:219.7pt;mso-position-vertical:top" type="shapetype_75">
                <v:imagedata r:id="rId15"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t> </w:t>
      </w:r>
    </w:p>
    <w:p>
      <w:pPr>
        <w:pStyle w:val="Normal"/>
        <w:shd w:val="clear" w:color="auto" w:fill="FFFFFF"/>
        <w:spacing w:lineRule="atLeast" w:line="270"/>
        <w:rPr>
          <w:rFonts w:cs="Arial"/>
          <w:color w:val="333333"/>
          <w:sz w:val="24"/>
          <w:szCs w:val="24"/>
          <w:lang w:eastAsia="pt-BR"/>
        </w:rPr>
      </w:pPr>
      <w:r>
        <w:rPr/>
        <mc:AlternateContent>
          <mc:Choice Requires="wps">
            <w:drawing>
              <wp:inline distT="0" distB="0" distL="0" distR="0">
                <wp:extent cx="4182110" cy="2781935"/>
                <wp:effectExtent l="0" t="0" r="0" b="0"/>
                <wp:docPr id="14" name="Imagem 7"/>
                <a:graphic xmlns:a="http://schemas.openxmlformats.org/drawingml/2006/main">
                  <a:graphicData uri="http://schemas.openxmlformats.org/drawingml/2006/picture">
                    <pic:pic xmlns:pic="http://schemas.openxmlformats.org/drawingml/2006/picture">
                      <pic:nvPicPr>
                        <pic:cNvPr id="13" name="Imagem 7" descr=""/>
                        <pic:cNvPicPr/>
                      </pic:nvPicPr>
                      <pic:blipFill>
                        <a:blip r:embed="rId16"/>
                        <a:stretch/>
                      </pic:blipFill>
                      <pic:spPr>
                        <a:xfrm>
                          <a:off x="0" y="0"/>
                          <a:ext cx="4181400" cy="2781360"/>
                        </a:xfrm>
                        <a:prstGeom prst="rect">
                          <a:avLst/>
                        </a:prstGeom>
                        <a:ln>
                          <a:noFill/>
                        </a:ln>
                      </pic:spPr>
                    </pic:pic>
                  </a:graphicData>
                </a:graphic>
              </wp:inline>
            </w:drawing>
          </mc:Choice>
          <mc:Fallback>
            <w:pict>
              <v:shape id="shape_0" ID="Imagem 7" stroked="f" style="position:absolute;margin-left:0pt;margin-top:-219.05pt;width:329.2pt;height:218.95pt;mso-position-vertical:top" type="shapetype_75">
                <v:imagedata r:id="rId16" o:detectmouseclick="t"/>
                <w10:wrap type="none"/>
                <v:stroke color="#3465a4" joinstyle="round" endcap="flat"/>
              </v:shape>
            </w:pict>
          </mc:Fallback>
        </mc:AlternateContent>
      </w:r>
    </w:p>
    <w:p>
      <w:pPr>
        <w:pStyle w:val="Normal"/>
        <w:shd w:val="clear" w:color="auto" w:fill="FFFFFF"/>
        <w:spacing w:lineRule="atLeast" w:line="270"/>
        <w:rPr>
          <w:rFonts w:cs="Arial"/>
          <w:color w:val="333333"/>
          <w:sz w:val="24"/>
          <w:szCs w:val="24"/>
          <w:lang w:eastAsia="pt-BR"/>
        </w:rPr>
      </w:pPr>
      <w:r>
        <w:rPr>
          <w:rFonts w:cs="Arial"/>
          <w:color w:val="333333"/>
          <w:sz w:val="24"/>
          <w:szCs w:val="24"/>
          <w:lang w:eastAsia="pt-BR"/>
        </w:rPr>
        <w:br/>
      </w:r>
    </w:p>
    <w:p>
      <w:pPr>
        <w:pStyle w:val="Normal"/>
        <w:jc w:val="both"/>
        <w:rPr>
          <w:rFonts w:cs="Arial"/>
          <w:b/>
          <w:b/>
          <w:sz w:val="24"/>
          <w:szCs w:val="24"/>
          <w:highlight w:val="white"/>
        </w:rPr>
      </w:pPr>
      <w:r>
        <w:rPr>
          <w:rFonts w:cs="Arial"/>
          <w:b/>
          <w:sz w:val="24"/>
          <w:szCs w:val="24"/>
          <w:shd w:fill="FFFFFF" w:val="clear"/>
        </w:rPr>
        <w:t>4 – Reuniões Realizadas</w:t>
      </w:r>
    </w:p>
    <w:p>
      <w:pPr>
        <w:pStyle w:val="Normal"/>
        <w:jc w:val="both"/>
        <w:rPr>
          <w:b/>
          <w:b/>
          <w:sz w:val="24"/>
          <w:szCs w:val="24"/>
        </w:rPr>
      </w:pPr>
      <w:r>
        <w:rPr>
          <w:b/>
          <w:sz w:val="24"/>
          <w:szCs w:val="24"/>
        </w:rPr>
      </w:r>
    </w:p>
    <w:p>
      <w:pPr>
        <w:pStyle w:val="Normal"/>
        <w:jc w:val="both"/>
        <w:rPr>
          <w:b/>
          <w:b/>
          <w:sz w:val="24"/>
          <w:szCs w:val="24"/>
        </w:rPr>
      </w:pPr>
      <w:r>
        <w:rPr>
          <w:sz w:val="24"/>
          <w:szCs w:val="24"/>
        </w:rPr>
        <w:t>12/02/2015</w:t>
      </w:r>
      <w:r>
        <w:rPr>
          <w:b/>
          <w:sz w:val="24"/>
          <w:szCs w:val="24"/>
        </w:rPr>
        <w:tab/>
        <w:t>MPF - Rua Marechal Deodoro, 933</w:t>
        <w:tab/>
        <w:tab/>
      </w:r>
    </w:p>
    <w:p>
      <w:pPr>
        <w:pStyle w:val="Normal"/>
        <w:jc w:val="both"/>
        <w:rPr>
          <w:b/>
          <w:b/>
          <w:sz w:val="24"/>
          <w:szCs w:val="24"/>
        </w:rPr>
      </w:pPr>
      <w:r>
        <w:rPr>
          <w:sz w:val="24"/>
          <w:szCs w:val="24"/>
        </w:rPr>
        <w:t>25/02/2015</w:t>
      </w:r>
      <w:r>
        <w:rPr>
          <w:b/>
          <w:sz w:val="24"/>
          <w:szCs w:val="24"/>
        </w:rPr>
        <w:tab/>
        <w:t xml:space="preserve"> PGE - Rua Paula Gomes, 145</w:t>
        <w:tab/>
        <w:tab/>
      </w:r>
    </w:p>
    <w:p>
      <w:pPr>
        <w:pStyle w:val="Normal"/>
        <w:jc w:val="both"/>
        <w:rPr>
          <w:b/>
          <w:b/>
          <w:sz w:val="24"/>
          <w:szCs w:val="24"/>
        </w:rPr>
      </w:pPr>
      <w:r>
        <w:rPr>
          <w:sz w:val="24"/>
          <w:szCs w:val="24"/>
        </w:rPr>
        <w:t>14/04/2015</w:t>
      </w:r>
      <w:r>
        <w:rPr>
          <w:b/>
          <w:sz w:val="24"/>
          <w:szCs w:val="24"/>
        </w:rPr>
        <w:tab/>
        <w:t xml:space="preserve"> MPPR/CEAF - Rua Marechal Deodoro, 1028, 7º andar</w:t>
        <w:tab/>
      </w:r>
    </w:p>
    <w:p>
      <w:pPr>
        <w:pStyle w:val="Normal"/>
        <w:jc w:val="both"/>
        <w:rPr>
          <w:b/>
          <w:b/>
          <w:sz w:val="24"/>
          <w:szCs w:val="24"/>
        </w:rPr>
      </w:pPr>
      <w:r>
        <w:rPr>
          <w:sz w:val="24"/>
          <w:szCs w:val="24"/>
        </w:rPr>
        <w:t>04/08/2015</w:t>
      </w:r>
      <w:r>
        <w:rPr>
          <w:b/>
          <w:sz w:val="24"/>
          <w:szCs w:val="24"/>
        </w:rPr>
        <w:tab/>
        <w:t xml:space="preserve"> RFB - Rua Marechal Deodoro, 555</w:t>
      </w:r>
    </w:p>
    <w:p>
      <w:pPr>
        <w:pStyle w:val="Normal"/>
        <w:jc w:val="both"/>
        <w:rPr>
          <w:b/>
          <w:b/>
          <w:sz w:val="24"/>
          <w:szCs w:val="24"/>
        </w:rPr>
      </w:pPr>
      <w:r>
        <w:rPr>
          <w:sz w:val="24"/>
          <w:szCs w:val="24"/>
        </w:rPr>
        <w:t>02/09/2015</w:t>
      </w:r>
      <w:r>
        <w:rPr>
          <w:b/>
          <w:sz w:val="24"/>
          <w:szCs w:val="24"/>
        </w:rPr>
        <w:t xml:space="preserve">     MPPR/CEAF - Rua Marechal Deodoro, 1028, 7º andar</w:t>
      </w:r>
    </w:p>
    <w:p>
      <w:pPr>
        <w:pStyle w:val="Normal"/>
        <w:jc w:val="both"/>
        <w:rPr>
          <w:b/>
          <w:b/>
          <w:sz w:val="24"/>
          <w:szCs w:val="24"/>
        </w:rPr>
      </w:pPr>
      <w:r>
        <w:rPr>
          <w:b/>
          <w:sz w:val="24"/>
          <w:szCs w:val="24"/>
        </w:rPr>
      </w:r>
    </w:p>
    <w:p>
      <w:pPr>
        <w:pStyle w:val="Normal"/>
        <w:jc w:val="both"/>
        <w:rPr>
          <w:b/>
          <w:b/>
          <w:sz w:val="24"/>
          <w:szCs w:val="24"/>
        </w:rPr>
      </w:pPr>
      <w:r>
        <w:rPr>
          <w:b/>
          <w:sz w:val="24"/>
          <w:szCs w:val="24"/>
        </w:rPr>
      </w:r>
    </w:p>
    <w:p>
      <w:pPr>
        <w:pStyle w:val="Normal"/>
        <w:rPr>
          <w:rFonts w:cs="Helvetica"/>
          <w:b/>
          <w:b/>
          <w:color w:val="000000"/>
          <w:sz w:val="24"/>
          <w:szCs w:val="24"/>
          <w:highlight w:val="white"/>
        </w:rPr>
      </w:pPr>
      <w:r>
        <w:rPr>
          <w:rFonts w:cs="Helvetica"/>
          <w:b/>
          <w:color w:val="000000"/>
          <w:sz w:val="24"/>
          <w:szCs w:val="24"/>
          <w:shd w:fill="FFFFFF" w:val="clear"/>
        </w:rPr>
      </w:r>
    </w:p>
    <w:p>
      <w:pPr>
        <w:pStyle w:val="Normal"/>
        <w:rPr>
          <w:rFonts w:cs="Helvetica"/>
          <w:b/>
          <w:b/>
          <w:color w:val="000000"/>
          <w:sz w:val="24"/>
          <w:szCs w:val="24"/>
          <w:highlight w:val="white"/>
        </w:rPr>
      </w:pPr>
      <w:r>
        <w:rPr>
          <w:rFonts w:cs="Helvetica"/>
          <w:b/>
          <w:color w:val="000000"/>
          <w:sz w:val="24"/>
          <w:szCs w:val="24"/>
          <w:shd w:fill="FFFFFF" w:val="clear"/>
        </w:rPr>
      </w:r>
    </w:p>
    <w:p>
      <w:pPr>
        <w:pStyle w:val="Normal"/>
        <w:rPr>
          <w:rFonts w:cs="Helvetica"/>
          <w:b/>
          <w:b/>
          <w:color w:val="000000"/>
          <w:sz w:val="24"/>
          <w:szCs w:val="24"/>
          <w:highlight w:val="white"/>
        </w:rPr>
      </w:pPr>
      <w:r>
        <w:rPr>
          <w:rFonts w:cs="Helvetica"/>
          <w:b/>
          <w:color w:val="000000"/>
          <w:sz w:val="24"/>
          <w:szCs w:val="24"/>
          <w:shd w:fill="FFFFFF" w:val="clear"/>
        </w:rPr>
      </w:r>
    </w:p>
    <w:p>
      <w:pPr>
        <w:pStyle w:val="Normal"/>
        <w:rPr>
          <w:rFonts w:cs="Helvetica"/>
          <w:b/>
          <w:b/>
          <w:color w:val="000000"/>
          <w:sz w:val="24"/>
          <w:szCs w:val="24"/>
          <w:highlight w:val="white"/>
        </w:rPr>
      </w:pPr>
      <w:bookmarkStart w:id="0" w:name="_GoBack"/>
      <w:bookmarkEnd w:id="0"/>
      <w:r>
        <w:rPr>
          <w:rFonts w:cs="Helvetica"/>
          <w:b/>
          <w:color w:val="000000"/>
          <w:sz w:val="24"/>
          <w:szCs w:val="24"/>
          <w:shd w:fill="FFFFFF" w:val="clear"/>
        </w:rPr>
        <w:t>Proposta</w:t>
      </w:r>
      <w:r>
        <w:rPr>
          <w:rStyle w:val="Appleconvertedspace"/>
          <w:rFonts w:cs="Helvetica"/>
          <w:b/>
          <w:color w:val="000000"/>
          <w:sz w:val="24"/>
          <w:szCs w:val="24"/>
          <w:shd w:fill="FFFFFF" w:val="clear"/>
        </w:rPr>
        <w:t> d</w:t>
      </w:r>
      <w:r>
        <w:rPr>
          <w:rFonts w:cs="Helvetica"/>
          <w:b/>
          <w:color w:val="000000"/>
          <w:sz w:val="24"/>
          <w:szCs w:val="24"/>
          <w:shd w:fill="FFFFFF" w:val="clear"/>
        </w:rPr>
        <w:t>e Trabalho -</w:t>
      </w:r>
      <w:r>
        <w:rPr>
          <w:rStyle w:val="Appleconvertedspace"/>
          <w:rFonts w:cs="Helvetica"/>
          <w:b/>
          <w:color w:val="000000"/>
          <w:sz w:val="24"/>
          <w:szCs w:val="24"/>
          <w:shd w:fill="FFFFFF" w:val="clear"/>
        </w:rPr>
        <w:t> </w:t>
      </w:r>
      <w:r>
        <w:rPr>
          <w:rFonts w:cs="Helvetica"/>
          <w:b/>
          <w:color w:val="000000"/>
          <w:sz w:val="24"/>
          <w:szCs w:val="24"/>
          <w:shd w:fill="FFFFFF" w:val="clear"/>
        </w:rPr>
        <w:t>2016</w:t>
      </w:r>
    </w:p>
    <w:p>
      <w:pPr>
        <w:pStyle w:val="Normal"/>
        <w:jc w:val="both"/>
        <w:rPr>
          <w:rFonts w:cs="Helvetica"/>
          <w:color w:val="000000"/>
          <w:sz w:val="24"/>
          <w:szCs w:val="24"/>
          <w:highlight w:val="white"/>
        </w:rPr>
      </w:pPr>
      <w:r>
        <w:rPr>
          <w:rFonts w:cs="Helvetica"/>
          <w:color w:val="000000"/>
          <w:sz w:val="24"/>
          <w:szCs w:val="24"/>
          <w:shd w:fill="FFFFFF" w:val="clear"/>
        </w:rPr>
      </w:r>
    </w:p>
    <w:p>
      <w:pPr>
        <w:pStyle w:val="Normal"/>
        <w:jc w:val="both"/>
        <w:rPr>
          <w:b/>
          <w:b/>
          <w:sz w:val="24"/>
          <w:szCs w:val="24"/>
        </w:rPr>
      </w:pPr>
      <w:r>
        <w:rPr>
          <w:rStyle w:val="Nfase"/>
          <w:b/>
          <w:i w:val="false"/>
          <w:sz w:val="24"/>
          <w:szCs w:val="24"/>
        </w:rPr>
        <w:t>- II workshop</w:t>
      </w:r>
      <w:r>
        <w:rPr>
          <w:rStyle w:val="Appleconvertedspace"/>
          <w:b/>
          <w:i/>
          <w:sz w:val="24"/>
          <w:szCs w:val="24"/>
        </w:rPr>
        <w:t> </w:t>
      </w:r>
      <w:r>
        <w:rPr>
          <w:b/>
          <w:sz w:val="24"/>
          <w:szCs w:val="24"/>
        </w:rPr>
        <w:t>sobre</w:t>
      </w:r>
      <w:r>
        <w:rPr>
          <w:b/>
          <w:i/>
          <w:sz w:val="24"/>
          <w:szCs w:val="24"/>
        </w:rPr>
        <w:t xml:space="preserve"> </w:t>
      </w:r>
      <w:r>
        <w:rPr>
          <w:sz w:val="24"/>
          <w:szCs w:val="24"/>
        </w:rPr>
        <w:t>"</w:t>
      </w:r>
      <w:r>
        <w:rPr>
          <w:b/>
          <w:sz w:val="24"/>
          <w:szCs w:val="24"/>
        </w:rPr>
        <w:t>O papel da educação corporativa no desenvolvimento institucional</w:t>
      </w:r>
      <w:r>
        <w:rPr>
          <w:sz w:val="24"/>
          <w:szCs w:val="24"/>
        </w:rPr>
        <w:t>” - 1ª quinzena de setembro de 2016: reunir gestores das escolas e área de formação para apresentação de casos e debates sobre a educação corporativa no contexto institucional e sua contribuição para as ações de controle externo.</w:t>
      </w:r>
    </w:p>
    <w:p>
      <w:pPr>
        <w:pStyle w:val="Normal"/>
        <w:jc w:val="both"/>
        <w:rPr>
          <w:b/>
          <w:b/>
          <w:sz w:val="24"/>
          <w:szCs w:val="24"/>
        </w:rPr>
      </w:pPr>
      <w:r>
        <w:rPr>
          <w:b/>
          <w:sz w:val="24"/>
          <w:szCs w:val="24"/>
        </w:rPr>
      </w:r>
    </w:p>
    <w:p>
      <w:pPr>
        <w:pStyle w:val="Normal"/>
        <w:jc w:val="both"/>
        <w:rPr>
          <w:rFonts w:cs="Arial"/>
          <w:sz w:val="24"/>
          <w:szCs w:val="24"/>
          <w:highlight w:val="white"/>
        </w:rPr>
      </w:pPr>
      <w:r>
        <w:rPr>
          <w:b/>
          <w:sz w:val="24"/>
          <w:szCs w:val="24"/>
        </w:rPr>
        <w:t>- Ampliar adesão a proposta “</w:t>
      </w:r>
      <w:r>
        <w:rPr>
          <w:rFonts w:cs="Arial"/>
          <w:b/>
          <w:sz w:val="24"/>
          <w:szCs w:val="24"/>
          <w:shd w:fill="FFFFFF" w:val="clear"/>
        </w:rPr>
        <w:t>Parceiros de Capacitação da Rede</w:t>
      </w:r>
      <w:r>
        <w:rPr>
          <w:rFonts w:cs="Arial"/>
          <w:sz w:val="24"/>
          <w:szCs w:val="24"/>
          <w:shd w:fill="FFFFFF" w:val="clear"/>
        </w:rPr>
        <w:t>”: intensificar o processo de capacitação dos integrantes da Rede.</w:t>
      </w:r>
    </w:p>
    <w:p>
      <w:pPr>
        <w:pStyle w:val="Normal"/>
        <w:jc w:val="both"/>
        <w:rPr>
          <w:rFonts w:cs="Arial"/>
          <w:b/>
          <w:b/>
          <w:sz w:val="24"/>
          <w:szCs w:val="24"/>
          <w:highlight w:val="white"/>
        </w:rPr>
      </w:pPr>
      <w:r>
        <w:rPr>
          <w:rFonts w:cs="Arial"/>
          <w:b/>
          <w:sz w:val="24"/>
          <w:szCs w:val="24"/>
          <w:shd w:fill="FFFFFF" w:val="clear"/>
        </w:rPr>
      </w:r>
    </w:p>
    <w:p>
      <w:pPr>
        <w:pStyle w:val="Normal"/>
        <w:rPr/>
      </w:pPr>
      <w:hyperlink r:id="rId17">
        <w:r>
          <w:rPr>
            <w:rStyle w:val="Style"/>
          </w:rPr>
          <mc:AlternateContent>
            <mc:Choice Requires="wps">
              <w:drawing>
                <wp:inline distT="0" distB="0" distL="0" distR="0">
                  <wp:extent cx="2410460" cy="810260"/>
                  <wp:effectExtent l="0" t="0" r="0" b="0"/>
                  <wp:docPr id="15" name="Imagem 2"/>
                  <a:graphic xmlns:a="http://schemas.openxmlformats.org/drawingml/2006/main">
                    <a:graphicData uri="http://schemas.openxmlformats.org/drawingml/2006/picture">
                      <pic:pic xmlns:pic="http://schemas.openxmlformats.org/drawingml/2006/picture">
                        <pic:nvPicPr>
                          <pic:cNvPr id="14" name="Imagem 2" descr=""/>
                          <pic:cNvPicPr/>
                        </pic:nvPicPr>
                        <pic:blipFill>
                          <a:blip r:embed="rId18"/>
                          <a:stretch/>
                        </pic:blipFill>
                        <pic:spPr>
                          <a:xfrm>
                            <a:off x="0" y="0"/>
                            <a:ext cx="2409840" cy="809640"/>
                          </a:xfrm>
                          <a:prstGeom prst="rect">
                            <a:avLst/>
                          </a:prstGeom>
                          <a:ln>
                            <a:noFill/>
                          </a:ln>
                        </pic:spPr>
                      </pic:pic>
                    </a:graphicData>
                  </a:graphic>
                </wp:inline>
              </w:drawing>
            </mc:Choice>
            <mc:Fallback>
              <w:pict>
                <v:shape id="shape_0" ID="Imagem 2" stroked="f" style="position:absolute;margin-left:0pt;margin-top:-63.8pt;width:189.7pt;height:63.7pt;mso-position-vertical:top" type="shapetype_75">
                  <v:imagedata r:id="rId18" o:detectmouseclick="t"/>
                  <w10:wrap type="none"/>
                  <v:stroke color="#3465a4" joinstyle="round" endcap="flat"/>
                </v:shape>
              </w:pict>
            </mc:Fallback>
          </mc:AlternateContent>
        </w:r>
      </w:hyperlink>
    </w:p>
    <w:p>
      <w:pPr>
        <w:pStyle w:val="Normal"/>
        <w:rPr>
          <w:b/>
          <w:b/>
          <w:sz w:val="24"/>
          <w:szCs w:val="24"/>
        </w:rPr>
      </w:pPr>
      <w:r>
        <w:rPr>
          <w:b/>
          <w:sz w:val="24"/>
          <w:szCs w:val="24"/>
        </w:rPr>
      </w:r>
    </w:p>
    <w:p>
      <w:pPr>
        <w:pStyle w:val="Normal"/>
        <w:rPr>
          <w:b/>
          <w:b/>
          <w:sz w:val="24"/>
          <w:szCs w:val="24"/>
        </w:rPr>
      </w:pPr>
      <w:r>
        <w:rPr>
          <w:b/>
          <w:sz w:val="24"/>
          <w:szCs w:val="24"/>
        </w:rPr>
      </w:r>
    </w:p>
    <w:p>
      <w:pPr>
        <w:pStyle w:val="Normal"/>
        <w:numPr>
          <w:ilvl w:val="0"/>
          <w:numId w:val="1"/>
        </w:numPr>
        <w:spacing w:lineRule="atLeast" w:line="270"/>
        <w:jc w:val="left"/>
        <w:rPr/>
      </w:pPr>
      <w:hyperlink r:id="rId19" w:tgtFrame="_blank">
        <w:r>
          <w:rPr>
            <w:rStyle w:val="Style"/>
            <w:sz w:val="24"/>
            <w:szCs w:val="24"/>
            <w:lang w:eastAsia="pt-BR"/>
          </w:rPr>
          <w:t>Advocacia Geral da União no Paraná</w:t>
        </w:r>
      </w:hyperlink>
      <w:r>
        <w:rPr>
          <w:sz w:val="24"/>
          <w:szCs w:val="24"/>
          <w:lang w:eastAsia="pt-BR"/>
        </w:rPr>
        <w:t> - AGU/PR</w:t>
      </w:r>
    </w:p>
    <w:p>
      <w:pPr>
        <w:pStyle w:val="Normal"/>
        <w:numPr>
          <w:ilvl w:val="0"/>
          <w:numId w:val="1"/>
        </w:numPr>
        <w:spacing w:lineRule="atLeast" w:line="270"/>
        <w:jc w:val="left"/>
        <w:rPr/>
      </w:pPr>
      <w:hyperlink r:id="rId20" w:tgtFrame="_blank">
        <w:r>
          <w:rPr>
            <w:rStyle w:val="Style"/>
            <w:sz w:val="24"/>
            <w:szCs w:val="24"/>
            <w:lang w:eastAsia="pt-BR"/>
          </w:rPr>
          <w:t>Controladoria-Geral da União no Paraná</w:t>
        </w:r>
      </w:hyperlink>
      <w:r>
        <w:rPr>
          <w:sz w:val="24"/>
          <w:szCs w:val="24"/>
          <w:lang w:eastAsia="pt-BR"/>
        </w:rPr>
        <w:t> - CGU/PR</w:t>
      </w:r>
    </w:p>
    <w:p>
      <w:pPr>
        <w:pStyle w:val="Normal"/>
        <w:numPr>
          <w:ilvl w:val="0"/>
          <w:numId w:val="1"/>
        </w:numPr>
        <w:spacing w:lineRule="atLeast" w:line="270"/>
        <w:jc w:val="left"/>
        <w:rPr/>
      </w:pPr>
      <w:hyperlink r:id="rId21" w:tgtFrame="_blank">
        <w:r>
          <w:rPr>
            <w:rStyle w:val="Style"/>
            <w:sz w:val="24"/>
            <w:szCs w:val="24"/>
            <w:lang w:eastAsia="pt-BR"/>
          </w:rPr>
          <w:t>Departamento de Polícia Federal no Paraná</w:t>
        </w:r>
      </w:hyperlink>
      <w:r>
        <w:rPr>
          <w:sz w:val="24"/>
          <w:szCs w:val="24"/>
          <w:lang w:eastAsia="pt-BR"/>
        </w:rPr>
        <w:t> - DPF</w:t>
      </w:r>
    </w:p>
    <w:p>
      <w:pPr>
        <w:pStyle w:val="Normal"/>
        <w:numPr>
          <w:ilvl w:val="0"/>
          <w:numId w:val="1"/>
        </w:numPr>
        <w:spacing w:lineRule="atLeast" w:line="270"/>
        <w:jc w:val="left"/>
        <w:rPr/>
      </w:pPr>
      <w:hyperlink r:id="rId22" w:tgtFrame="_blank">
        <w:r>
          <w:rPr>
            <w:rStyle w:val="Style"/>
            <w:sz w:val="24"/>
            <w:szCs w:val="24"/>
            <w:lang w:eastAsia="pt-BR"/>
          </w:rPr>
          <w:t>Ministério Público Federal no Paraná</w:t>
        </w:r>
      </w:hyperlink>
      <w:r>
        <w:rPr>
          <w:sz w:val="24"/>
          <w:szCs w:val="24"/>
          <w:lang w:eastAsia="pt-BR"/>
        </w:rPr>
        <w:t> - MPF</w:t>
      </w:r>
    </w:p>
    <w:p>
      <w:pPr>
        <w:pStyle w:val="Normal"/>
        <w:numPr>
          <w:ilvl w:val="0"/>
          <w:numId w:val="1"/>
        </w:numPr>
        <w:spacing w:lineRule="atLeast" w:line="270"/>
        <w:jc w:val="left"/>
        <w:rPr/>
      </w:pPr>
      <w:hyperlink r:id="rId23" w:tgtFrame="_blank">
        <w:r>
          <w:rPr>
            <w:rStyle w:val="Style"/>
            <w:sz w:val="24"/>
            <w:szCs w:val="24"/>
            <w:lang w:eastAsia="pt-BR"/>
          </w:rPr>
          <w:t>Receita Federal do Brasil no Paraná</w:t>
        </w:r>
      </w:hyperlink>
      <w:r>
        <w:rPr>
          <w:sz w:val="24"/>
          <w:szCs w:val="24"/>
          <w:lang w:eastAsia="pt-BR"/>
        </w:rPr>
        <w:t> - RFB</w:t>
      </w:r>
    </w:p>
    <w:p>
      <w:pPr>
        <w:pStyle w:val="Normal"/>
        <w:numPr>
          <w:ilvl w:val="0"/>
          <w:numId w:val="1"/>
        </w:numPr>
        <w:spacing w:lineRule="atLeast" w:line="270"/>
        <w:jc w:val="left"/>
        <w:rPr/>
      </w:pPr>
      <w:hyperlink r:id="rId24" w:tgtFrame="_blank">
        <w:r>
          <w:rPr>
            <w:rStyle w:val="Style"/>
            <w:sz w:val="24"/>
            <w:szCs w:val="24"/>
            <w:lang w:eastAsia="pt-BR"/>
          </w:rPr>
          <w:t>Tribunal de Contas da União</w:t>
        </w:r>
      </w:hyperlink>
      <w:r>
        <w:rPr>
          <w:sz w:val="24"/>
          <w:szCs w:val="24"/>
          <w:lang w:eastAsia="pt-BR"/>
        </w:rPr>
        <w:t> - TCU</w:t>
      </w:r>
    </w:p>
    <w:p>
      <w:pPr>
        <w:pStyle w:val="Normal"/>
        <w:numPr>
          <w:ilvl w:val="0"/>
          <w:numId w:val="1"/>
        </w:numPr>
        <w:spacing w:lineRule="atLeast" w:line="270"/>
        <w:jc w:val="left"/>
        <w:rPr/>
      </w:pPr>
      <w:hyperlink r:id="rId25" w:tgtFrame="_blank">
        <w:r>
          <w:rPr>
            <w:rStyle w:val="Style"/>
            <w:sz w:val="24"/>
            <w:szCs w:val="24"/>
            <w:lang w:eastAsia="pt-BR"/>
          </w:rPr>
          <w:t>Tribunal Regional Eleitoral do Paraná</w:t>
        </w:r>
      </w:hyperlink>
      <w:r>
        <w:rPr>
          <w:sz w:val="24"/>
          <w:szCs w:val="24"/>
          <w:lang w:eastAsia="pt-BR"/>
        </w:rPr>
        <w:t> - TRE/PR</w:t>
      </w:r>
    </w:p>
    <w:p>
      <w:pPr>
        <w:pStyle w:val="ListParagraph"/>
        <w:numPr>
          <w:ilvl w:val="0"/>
          <w:numId w:val="1"/>
        </w:numPr>
        <w:jc w:val="both"/>
        <w:rPr/>
      </w:pPr>
      <w:hyperlink r:id="rId26">
        <w:r>
          <w:rPr>
            <w:rStyle w:val="LinkdaInternet"/>
            <w:color w:val="auto"/>
            <w:sz w:val="24"/>
            <w:szCs w:val="24"/>
            <w:highlight w:val="white"/>
            <w:u w:val="none"/>
          </w:rPr>
          <w:t>Ministério Público junto ao Tribunal de Contas do Paraná</w:t>
        </w:r>
      </w:hyperlink>
      <w:r>
        <w:rPr>
          <w:rStyle w:val="Appleconvertedspace"/>
          <w:sz w:val="24"/>
          <w:szCs w:val="24"/>
          <w:shd w:fill="FFFFFF" w:val="clear"/>
        </w:rPr>
        <w:t> </w:t>
      </w:r>
      <w:r>
        <w:rPr>
          <w:sz w:val="24"/>
          <w:szCs w:val="24"/>
          <w:shd w:fill="FFFFFF" w:val="clear"/>
        </w:rPr>
        <w:t>- MPjTC</w:t>
      </w:r>
    </w:p>
    <w:p>
      <w:pPr>
        <w:pStyle w:val="ListParagraph"/>
        <w:numPr>
          <w:ilvl w:val="0"/>
          <w:numId w:val="1"/>
        </w:numPr>
        <w:jc w:val="both"/>
        <w:rPr/>
      </w:pPr>
      <w:hyperlink r:id="rId27">
        <w:r>
          <w:rPr>
            <w:rStyle w:val="LinkdaInternet"/>
            <w:color w:val="auto"/>
            <w:sz w:val="24"/>
            <w:szCs w:val="24"/>
            <w:highlight w:val="white"/>
            <w:u w:val="none"/>
          </w:rPr>
          <w:t>Ministério Público do Trabalho</w:t>
        </w:r>
      </w:hyperlink>
      <w:r>
        <w:rPr>
          <w:rStyle w:val="Appleconvertedspace"/>
          <w:sz w:val="24"/>
          <w:szCs w:val="24"/>
          <w:shd w:fill="FFFFFF" w:val="clear"/>
        </w:rPr>
        <w:t> </w:t>
      </w:r>
      <w:r>
        <w:rPr>
          <w:sz w:val="24"/>
          <w:szCs w:val="24"/>
          <w:shd w:fill="FFFFFF" w:val="clear"/>
        </w:rPr>
        <w:t>- MPT</w:t>
      </w:r>
    </w:p>
    <w:p>
      <w:pPr>
        <w:pStyle w:val="ListParagraph"/>
        <w:numPr>
          <w:ilvl w:val="0"/>
          <w:numId w:val="1"/>
        </w:numPr>
        <w:jc w:val="both"/>
        <w:rPr/>
      </w:pPr>
      <w:hyperlink r:id="rId28">
        <w:r>
          <w:rPr>
            <w:rStyle w:val="LinkdaInternet"/>
            <w:color w:val="auto"/>
            <w:sz w:val="24"/>
            <w:szCs w:val="24"/>
            <w:highlight w:val="white"/>
            <w:u w:val="none"/>
          </w:rPr>
          <w:t>Companhia de Tecnologia da Informação e Comunicação do Paraná </w:t>
        </w:r>
      </w:hyperlink>
      <w:r>
        <w:rPr>
          <w:sz w:val="24"/>
          <w:szCs w:val="24"/>
          <w:shd w:fill="FFFFFF" w:val="clear"/>
        </w:rPr>
        <w:t xml:space="preserve"> - CELEPAR </w:t>
      </w:r>
    </w:p>
    <w:p>
      <w:pPr>
        <w:pStyle w:val="ListParagraph"/>
        <w:numPr>
          <w:ilvl w:val="0"/>
          <w:numId w:val="1"/>
        </w:numPr>
        <w:jc w:val="both"/>
        <w:rPr/>
      </w:pPr>
      <w:hyperlink r:id="rId29">
        <w:r>
          <w:rPr>
            <w:rStyle w:val="LinkdaInternet"/>
            <w:color w:val="auto"/>
            <w:sz w:val="24"/>
            <w:szCs w:val="24"/>
            <w:highlight w:val="white"/>
            <w:u w:val="none"/>
          </w:rPr>
          <w:t>Assembleia Legislativa do Paraná</w:t>
        </w:r>
      </w:hyperlink>
      <w:r>
        <w:rPr>
          <w:rStyle w:val="Appleconvertedspace"/>
          <w:sz w:val="24"/>
          <w:szCs w:val="24"/>
          <w:shd w:fill="FFFFFF" w:val="clear"/>
        </w:rPr>
        <w:t> </w:t>
      </w:r>
      <w:r>
        <w:rPr>
          <w:sz w:val="24"/>
          <w:szCs w:val="24"/>
          <w:shd w:fill="FFFFFF" w:val="clear"/>
        </w:rPr>
        <w:t>- ALEP</w:t>
      </w:r>
    </w:p>
    <w:p>
      <w:pPr>
        <w:pStyle w:val="Normal"/>
        <w:jc w:val="both"/>
        <w:rPr>
          <w:b/>
          <w:b/>
          <w:sz w:val="24"/>
          <w:szCs w:val="24"/>
        </w:rPr>
      </w:pPr>
      <w:r>
        <w:rPr>
          <w:b/>
          <w:sz w:val="24"/>
          <w:szCs w:val="24"/>
        </w:rPr>
      </w:r>
    </w:p>
    <w:p>
      <w:pPr>
        <w:pStyle w:val="Normal"/>
        <w:jc w:val="both"/>
        <w:rPr>
          <w:rFonts w:cs="Arial"/>
          <w:b/>
          <w:b/>
          <w:sz w:val="24"/>
          <w:szCs w:val="24"/>
          <w:highlight w:val="white"/>
        </w:rPr>
      </w:pPr>
      <w:r>
        <w:rPr>
          <w:rFonts w:cs="Arial"/>
          <w:b/>
          <w:sz w:val="24"/>
          <w:szCs w:val="24"/>
          <w:shd w:fill="FFFFFF" w:val="clear"/>
        </w:rPr>
        <w:t>- Café com a Rede: Compartilhamento</w:t>
      </w:r>
      <w:r>
        <w:rPr>
          <w:rStyle w:val="Appleconvertedspace"/>
          <w:rFonts w:cs="Arial"/>
          <w:b/>
          <w:sz w:val="24"/>
          <w:szCs w:val="24"/>
          <w:shd w:fill="FFFFFF" w:val="clear"/>
        </w:rPr>
        <w:t> </w:t>
      </w:r>
      <w:r>
        <w:rPr>
          <w:rStyle w:val="Il"/>
          <w:rFonts w:cs="Arial"/>
          <w:b/>
          <w:sz w:val="24"/>
          <w:szCs w:val="24"/>
          <w:shd w:fill="FFFFFF" w:val="clear"/>
        </w:rPr>
        <w:t>de</w:t>
      </w:r>
      <w:r>
        <w:rPr>
          <w:rStyle w:val="Appleconvertedspace"/>
          <w:rFonts w:cs="Arial"/>
          <w:b/>
          <w:sz w:val="24"/>
          <w:szCs w:val="24"/>
          <w:shd w:fill="FFFFFF" w:val="clear"/>
        </w:rPr>
        <w:t> </w:t>
      </w:r>
      <w:r>
        <w:rPr>
          <w:rFonts w:cs="Arial"/>
          <w:b/>
          <w:sz w:val="24"/>
          <w:szCs w:val="24"/>
          <w:shd w:fill="FFFFFF" w:val="clear"/>
        </w:rPr>
        <w:t>Boas Práticas da RCGP-PR</w:t>
      </w:r>
    </w:p>
    <w:p>
      <w:pPr>
        <w:pStyle w:val="Normal"/>
        <w:jc w:val="both"/>
        <w:rPr>
          <w:b/>
          <w:b/>
          <w:sz w:val="24"/>
          <w:szCs w:val="24"/>
        </w:rPr>
      </w:pPr>
      <w:r>
        <w:rPr>
          <w:b/>
          <w:sz w:val="24"/>
          <w:szCs w:val="24"/>
        </w:rPr>
      </w:r>
    </w:p>
    <w:p>
      <w:pPr>
        <w:pStyle w:val="Normal"/>
        <w:rPr/>
      </w:pPr>
      <w:r>
        <w:rPr/>
        <mc:AlternateContent>
          <mc:Choice Requires="wps">
            <w:drawing>
              <wp:inline distT="0" distB="0" distL="0" distR="0">
                <wp:extent cx="4391660" cy="3296285"/>
                <wp:effectExtent l="0" t="0" r="0" b="0"/>
                <wp:docPr id="16" name="Imagem 16"/>
                <a:graphic xmlns:a="http://schemas.openxmlformats.org/drawingml/2006/main">
                  <a:graphicData uri="http://schemas.openxmlformats.org/drawingml/2006/picture">
                    <pic:pic xmlns:pic="http://schemas.openxmlformats.org/drawingml/2006/picture">
                      <pic:nvPicPr>
                        <pic:cNvPr id="15" name="Imagem 16" descr=""/>
                        <pic:cNvPicPr/>
                      </pic:nvPicPr>
                      <pic:blipFill>
                        <a:blip r:embed="rId30"/>
                        <a:stretch/>
                      </pic:blipFill>
                      <pic:spPr>
                        <a:xfrm>
                          <a:off x="0" y="0"/>
                          <a:ext cx="4390920" cy="3295800"/>
                        </a:xfrm>
                        <a:prstGeom prst="rect">
                          <a:avLst/>
                        </a:prstGeom>
                        <a:ln>
                          <a:noFill/>
                        </a:ln>
                      </pic:spPr>
                    </pic:pic>
                  </a:graphicData>
                </a:graphic>
              </wp:inline>
            </w:drawing>
          </mc:Choice>
          <mc:Fallback>
            <w:pict>
              <v:shape id="shape_0" ID="Imagem 16" stroked="f" style="position:absolute;margin-left:0pt;margin-top:-259.55pt;width:345.7pt;height:259.45pt;mso-position-vertical:top" type="shapetype_75">
                <v:imagedata r:id="rId30" o:detectmouseclick="t"/>
                <w10:wrap type="none"/>
                <v:stroke color="#3465a4" joinstyle="round" endcap="flat"/>
              </v:shape>
            </w:pict>
          </mc:Fallback>
        </mc:AlternateContent>
      </w:r>
    </w:p>
    <w:sectPr>
      <w:footerReference w:type="default" r:id="rId31"/>
      <w:type w:val="nextPage"/>
      <w:pgSz w:w="11906" w:h="16838"/>
      <w:pgMar w:left="1701" w:right="1701" w:header="0" w:top="1135" w:footer="708"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rPr/>
      <w:instrText> PAGE </w:instrText>
    </w:r>
    <w:r>
      <w:rPr/>
      <w:fldChar w:fldCharType="separate"/>
    </w:r>
    <w:r>
      <w:rPr/>
      <w:t>12</w:t>
    </w:r>
    <w:r>
      <w:rPr/>
      <w:fldChar w:fldCharType="end"/>
    </w:r>
  </w:p>
  <w:p>
    <w:pPr>
      <w:pStyle w:val="Rodap"/>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6"/>
  <w:embedSystemFonts/>
  <w:defaultTabStop w:val="708"/>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uiPriority="10" w:semiHidden="0" w:unhideWhenUsed="0" w:qFormat="1"/>
    <w:lsdException w:name="Default Paragraph Font" w:unhideWhenUsed="0"/>
    <w:lsdException w:name="Subtitle" w:uiPriority="11" w:semiHidden="0" w:unhideWhenUsed="0" w:qFormat="1"/>
    <w:lsdException w:name="Hyperlink" w:unhideWhenUsed="0"/>
    <w:lsdException w:name="Strong" w:semiHidden="0" w:unhideWhenUsed="0" w:qFormat="1"/>
    <w:lsdException w:name="Emphasis" w:semiHidden="0" w:unhideWhenUsed="0" w:qFormat="1"/>
    <w:lsdException w:name="Balloon Text" w:unhideWhenUsed="0"/>
    <w:lsdException w:name="Table Grid" w:uiPriority="59" w:semiHidden="0" w:unhideWhenUsed="0"/>
    <w:lsdException w:name="Placeholder Text" w:unhideWhenUsed="0"/>
    <w:lsdException w:name="No Spacing"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34a8e"/>
    <w:pPr>
      <w:widowControl/>
      <w:bidi w:val="0"/>
      <w:spacing w:before="0" w:after="0"/>
      <w:jc w:val="center"/>
    </w:pPr>
    <w:rPr>
      <w:rFonts w:ascii="Calibri" w:hAnsi="Calibri" w:eastAsia="Calibri" w:cs="Times New Roman"/>
      <w:color w:val="auto"/>
      <w:kern w:val="0"/>
      <w:sz w:val="22"/>
      <w:szCs w:val="22"/>
      <w:lang w:eastAsia="en-US" w:val="pt-BR" w:bidi="ar-SA"/>
    </w:rPr>
  </w:style>
  <w:style w:type="paragraph" w:styleId="Ttulo1">
    <w:name w:val="Heading 1"/>
    <w:basedOn w:val="Normal"/>
    <w:link w:val="Heading1Char"/>
    <w:uiPriority w:val="99"/>
    <w:qFormat/>
    <w:rsid w:val="00f771fc"/>
    <w:pPr>
      <w:spacing w:beforeAutospacing="1" w:afterAutospacing="1"/>
      <w:jc w:val="left"/>
      <w:outlineLvl w:val="0"/>
    </w:pPr>
    <w:rPr>
      <w:rFonts w:ascii="Times New Roman" w:hAnsi="Times New Roman" w:eastAsia="Times New Roman"/>
      <w:b/>
      <w:bCs/>
      <w:kern w:val="2"/>
      <w:sz w:val="48"/>
      <w:szCs w:val="48"/>
      <w:lang w:eastAsia="pt-BR"/>
    </w:rPr>
  </w:style>
  <w:style w:type="paragraph" w:styleId="Ttulo2">
    <w:name w:val="Heading 2"/>
    <w:basedOn w:val="Normal"/>
    <w:next w:val="Normal"/>
    <w:link w:val="Heading2Char"/>
    <w:uiPriority w:val="99"/>
    <w:qFormat/>
    <w:rsid w:val="009c029b"/>
    <w:pPr>
      <w:keepNext w:val="true"/>
      <w:keepLines/>
      <w:spacing w:before="200" w:after="0"/>
      <w:outlineLvl w:val="1"/>
    </w:pPr>
    <w:rPr>
      <w:rFonts w:ascii="Cambria" w:hAnsi="Cambria" w:eastAsia="Times New Roman"/>
      <w:b/>
      <w:bCs/>
      <w:color w:val="4F81BD"/>
      <w:sz w:val="26"/>
      <w:szCs w:val="26"/>
    </w:rPr>
  </w:style>
  <w:style w:type="character" w:styleId="DefaultParagraphFont" w:default="1">
    <w:name w:val="Default Paragraph Font"/>
    <w:uiPriority w:val="99"/>
    <w:semiHidden/>
    <w:qFormat/>
    <w:rPr/>
  </w:style>
  <w:style w:type="character" w:styleId="Heading1Char" w:customStyle="1">
    <w:name w:val="Heading 1 Char"/>
    <w:basedOn w:val="DefaultParagraphFont"/>
    <w:link w:val="Heading1"/>
    <w:uiPriority w:val="99"/>
    <w:qFormat/>
    <w:rsid w:val="00f771fc"/>
    <w:rPr>
      <w:rFonts w:ascii="Times New Roman" w:hAnsi="Times New Roman" w:cs="Times New Roman"/>
      <w:b/>
      <w:bCs/>
      <w:kern w:val="2"/>
      <w:sz w:val="48"/>
      <w:szCs w:val="48"/>
      <w:lang w:eastAsia="pt-BR"/>
    </w:rPr>
  </w:style>
  <w:style w:type="character" w:styleId="Heading2Char" w:customStyle="1">
    <w:name w:val="Heading 2 Char"/>
    <w:basedOn w:val="DefaultParagraphFont"/>
    <w:link w:val="Heading2"/>
    <w:uiPriority w:val="99"/>
    <w:semiHidden/>
    <w:qFormat/>
    <w:rsid w:val="009c029b"/>
    <w:rPr>
      <w:rFonts w:ascii="Cambria" w:hAnsi="Cambria" w:cs="Times New Roman"/>
      <w:b/>
      <w:bCs/>
      <w:color w:val="4F81BD"/>
      <w:sz w:val="26"/>
      <w:szCs w:val="26"/>
    </w:rPr>
  </w:style>
  <w:style w:type="character" w:styleId="Appleconvertedspace" w:customStyle="1">
    <w:name w:val="apple-converted-space"/>
    <w:basedOn w:val="DefaultParagraphFont"/>
    <w:uiPriority w:val="99"/>
    <w:qFormat/>
    <w:rsid w:val="005c6db7"/>
    <w:rPr>
      <w:rFonts w:cs="Times New Roman"/>
    </w:rPr>
  </w:style>
  <w:style w:type="character" w:styleId="Il" w:customStyle="1">
    <w:name w:val="il"/>
    <w:basedOn w:val="DefaultParagraphFont"/>
    <w:uiPriority w:val="99"/>
    <w:qFormat/>
    <w:rsid w:val="005c6db7"/>
    <w:rPr>
      <w:rFonts w:cs="Times New Roman"/>
    </w:rPr>
  </w:style>
  <w:style w:type="character" w:styleId="BalloonTextChar" w:customStyle="1">
    <w:name w:val="Balloon Text Char"/>
    <w:basedOn w:val="DefaultParagraphFont"/>
    <w:link w:val="BalloonText"/>
    <w:uiPriority w:val="99"/>
    <w:semiHidden/>
    <w:qFormat/>
    <w:rsid w:val="00f771fc"/>
    <w:rPr>
      <w:rFonts w:ascii="Tahoma" w:hAnsi="Tahoma" w:cs="Tahoma"/>
      <w:sz w:val="16"/>
      <w:szCs w:val="16"/>
    </w:rPr>
  </w:style>
  <w:style w:type="character" w:styleId="Strong">
    <w:name w:val="Strong"/>
    <w:basedOn w:val="DefaultParagraphFont"/>
    <w:uiPriority w:val="99"/>
    <w:qFormat/>
    <w:rsid w:val="00f771fc"/>
    <w:rPr>
      <w:rFonts w:cs="Times New Roman"/>
      <w:b/>
      <w:bCs/>
    </w:rPr>
  </w:style>
  <w:style w:type="character" w:styleId="Nfase">
    <w:name w:val="Ênfase"/>
    <w:basedOn w:val="DefaultParagraphFont"/>
    <w:uiPriority w:val="99"/>
    <w:qFormat/>
    <w:rsid w:val="00f771fc"/>
    <w:rPr>
      <w:rFonts w:cs="Times New Roman"/>
      <w:i/>
      <w:iCs/>
    </w:rPr>
  </w:style>
  <w:style w:type="character" w:styleId="HeaderChar" w:customStyle="1">
    <w:name w:val="Header Char"/>
    <w:basedOn w:val="DefaultParagraphFont"/>
    <w:link w:val="Header"/>
    <w:uiPriority w:val="99"/>
    <w:qFormat/>
    <w:rsid w:val="00f8648d"/>
    <w:rPr>
      <w:rFonts w:cs="Times New Roman"/>
    </w:rPr>
  </w:style>
  <w:style w:type="character" w:styleId="FooterChar" w:customStyle="1">
    <w:name w:val="Footer Char"/>
    <w:basedOn w:val="DefaultParagraphFont"/>
    <w:link w:val="Footer"/>
    <w:uiPriority w:val="99"/>
    <w:qFormat/>
    <w:rsid w:val="00f8648d"/>
    <w:rPr>
      <w:rFonts w:cs="Times New Roman"/>
    </w:rPr>
  </w:style>
  <w:style w:type="character" w:styleId="LinkdaInternet">
    <w:name w:val="Link da Internet"/>
    <w:basedOn w:val="DefaultParagraphFont"/>
    <w:uiPriority w:val="99"/>
    <w:semiHidden/>
    <w:rsid w:val="00123d97"/>
    <w:rPr>
      <w:rFonts w:cs="Times New Roman"/>
      <w:color w:val="0000FF"/>
      <w:u w:val="single"/>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BalloonText">
    <w:name w:val="Balloon Text"/>
    <w:basedOn w:val="Normal"/>
    <w:link w:val="BalloonTextChar"/>
    <w:uiPriority w:val="99"/>
    <w:semiHidden/>
    <w:qFormat/>
    <w:rsid w:val="00f771fc"/>
    <w:pPr/>
    <w:rPr>
      <w:rFonts w:ascii="Tahoma" w:hAnsi="Tahoma" w:cs="Tahoma"/>
      <w:sz w:val="16"/>
      <w:szCs w:val="16"/>
    </w:rPr>
  </w:style>
  <w:style w:type="paragraph" w:styleId="Western" w:customStyle="1">
    <w:name w:val="western"/>
    <w:basedOn w:val="Normal"/>
    <w:uiPriority w:val="99"/>
    <w:qFormat/>
    <w:rsid w:val="00f771fc"/>
    <w:pPr>
      <w:spacing w:beforeAutospacing="1" w:afterAutospacing="1"/>
      <w:jc w:val="left"/>
    </w:pPr>
    <w:rPr>
      <w:rFonts w:ascii="Times New Roman" w:hAnsi="Times New Roman" w:eastAsia="Times New Roman"/>
      <w:sz w:val="24"/>
      <w:szCs w:val="24"/>
      <w:lang w:eastAsia="pt-BR"/>
    </w:rPr>
  </w:style>
  <w:style w:type="paragraph" w:styleId="CabealhoeRodap">
    <w:name w:val="Cabeçalho e Rodapé"/>
    <w:basedOn w:val="Normal"/>
    <w:qFormat/>
    <w:pPr/>
    <w:rPr/>
  </w:style>
  <w:style w:type="paragraph" w:styleId="Cabealho">
    <w:name w:val="Header"/>
    <w:basedOn w:val="Normal"/>
    <w:link w:val="HeaderChar"/>
    <w:uiPriority w:val="99"/>
    <w:rsid w:val="00f8648d"/>
    <w:pPr>
      <w:tabs>
        <w:tab w:val="clear" w:pos="708"/>
        <w:tab w:val="center" w:pos="4252" w:leader="none"/>
        <w:tab w:val="right" w:pos="8504" w:leader="none"/>
      </w:tabs>
    </w:pPr>
    <w:rPr/>
  </w:style>
  <w:style w:type="paragraph" w:styleId="Rodap">
    <w:name w:val="Footer"/>
    <w:basedOn w:val="Normal"/>
    <w:link w:val="FooterChar"/>
    <w:uiPriority w:val="99"/>
    <w:rsid w:val="00f8648d"/>
    <w:pPr>
      <w:tabs>
        <w:tab w:val="clear" w:pos="708"/>
        <w:tab w:val="center" w:pos="4252" w:leader="none"/>
        <w:tab w:val="right" w:pos="8504" w:leader="none"/>
      </w:tabs>
    </w:pPr>
    <w:rPr/>
  </w:style>
  <w:style w:type="paragraph" w:styleId="NoSpacing">
    <w:name w:val="No Spacing"/>
    <w:uiPriority w:val="99"/>
    <w:qFormat/>
    <w:rsid w:val="00cf5879"/>
    <w:pPr>
      <w:widowControl/>
      <w:bidi w:val="0"/>
      <w:spacing w:before="0" w:after="0"/>
      <w:jc w:val="center"/>
    </w:pPr>
    <w:rPr>
      <w:rFonts w:ascii="Calibri" w:hAnsi="Calibri" w:eastAsia="Calibri" w:cs="Times New Roman"/>
      <w:color w:val="auto"/>
      <w:kern w:val="0"/>
      <w:sz w:val="22"/>
      <w:szCs w:val="22"/>
      <w:lang w:eastAsia="en-US" w:val="pt-BR" w:bidi="ar-SA"/>
    </w:rPr>
  </w:style>
  <w:style w:type="paragraph" w:styleId="ListParagraph">
    <w:name w:val="List Paragraph"/>
    <w:basedOn w:val="Normal"/>
    <w:uiPriority w:val="99"/>
    <w:qFormat/>
    <w:rsid w:val="00123d97"/>
    <w:pPr>
      <w:spacing w:before="0" w:after="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rededecontrole.pr.gov.br/arquivos/File/Encontro28042015/AGU_PROATIVO.ppt"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hyperlink" Target="http://www.rededecontrole.pr.gov.br/" TargetMode="External"/><Relationship Id="rId18" Type="http://schemas.openxmlformats.org/officeDocument/2006/relationships/image" Target="media/image15.png"/><Relationship Id="rId19" Type="http://schemas.openxmlformats.org/officeDocument/2006/relationships/hyperlink" Target="http://www.agu.gov.br/" TargetMode="External"/><Relationship Id="rId20" Type="http://schemas.openxmlformats.org/officeDocument/2006/relationships/hyperlink" Target="http://www.cgu.gov.br/" TargetMode="External"/><Relationship Id="rId21" Type="http://schemas.openxmlformats.org/officeDocument/2006/relationships/hyperlink" Target="http://www.dpf.gov.br/" TargetMode="External"/><Relationship Id="rId22" Type="http://schemas.openxmlformats.org/officeDocument/2006/relationships/hyperlink" Target="http://www.pgr.mpf.gov.br/" TargetMode="External"/><Relationship Id="rId23" Type="http://schemas.openxmlformats.org/officeDocument/2006/relationships/hyperlink" Target="http://www.receita.fazenda.gov.br/" TargetMode="External"/><Relationship Id="rId24" Type="http://schemas.openxmlformats.org/officeDocument/2006/relationships/hyperlink" Target="http://www.tcu.gov.br/" TargetMode="External"/><Relationship Id="rId25" Type="http://schemas.openxmlformats.org/officeDocument/2006/relationships/hyperlink" Target="http://www.tre-pr.jus.br/" TargetMode="External"/><Relationship Id="rId26" Type="http://schemas.openxmlformats.org/officeDocument/2006/relationships/hyperlink" Target="http://www1.tce.pr.gov.br/conteudo/mpc-institucional/76" TargetMode="External"/><Relationship Id="rId27" Type="http://schemas.openxmlformats.org/officeDocument/2006/relationships/hyperlink" Target="http://www.prt9.mpt.gov.br/" TargetMode="External"/><Relationship Id="rId28" Type="http://schemas.openxmlformats.org/officeDocument/2006/relationships/hyperlink" Target="http://www.celepar.pr.gov.br/" TargetMode="External"/><Relationship Id="rId29" Type="http://schemas.openxmlformats.org/officeDocument/2006/relationships/hyperlink" Target="http://www.alep.pr.gov.br/" TargetMode="External"/><Relationship Id="rId30" Type="http://schemas.openxmlformats.org/officeDocument/2006/relationships/image" Target="media/image16.png"/><Relationship Id="rId31" Type="http://schemas.openxmlformats.org/officeDocument/2006/relationships/footer" Target="footer1.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Application>LibreOffice/6.3.6.2$Windows_X86_64 LibreOffice_project/2196df99b074d8a661f4036fca8fa0cbfa33a497</Application>
  <Pages>9</Pages>
  <Words>2489</Words>
  <Characters>13598</Characters>
  <CharactersWithSpaces>16036</CharactersWithSpaces>
  <Paragraphs>115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2015-11-09T18:15:00Z</dcterms:created>
  <dc:creator>Leonora Simone Lucchese Piovesan</dc:creator>
  <dc:description/>
  <dc:language>pt-BR</dc:language>
  <cp:lastModifiedBy>jmlsoares</cp:lastModifiedBy>
  <dcterms:modified xsi:type="dcterms:W3CDTF">2015-11-09T18:18:00Z</dcterms:modified>
  <cp:revision>3</cp:revision>
  <dc:subject/>
  <dc:title>Comissão Permanente de Capacitação - Balanço 2015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