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BCA6E" w14:textId="419846B0" w:rsidR="007D2F52" w:rsidRDefault="007D2F52" w:rsidP="006374D0">
      <w:pPr>
        <w:pStyle w:val="NormalWeb"/>
        <w:spacing w:after="165" w:afterAutospacing="0"/>
        <w:rPr>
          <w:rFonts w:ascii="Calibri" w:hAnsi="Calibri" w:cs="Calibri"/>
          <w:sz w:val="22"/>
          <w:szCs w:val="22"/>
        </w:rPr>
      </w:pPr>
      <w:r w:rsidRPr="007A041B">
        <w:rPr>
          <w:noProof/>
        </w:rPr>
        <w:drawing>
          <wp:inline distT="0" distB="0" distL="0" distR="0" wp14:anchorId="09DC9A5E" wp14:editId="56E981ED">
            <wp:extent cx="5400040" cy="6750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86F70" w14:textId="082732F7" w:rsidR="007D2F52" w:rsidRPr="00BA2BFF" w:rsidRDefault="007D2F52" w:rsidP="007D2F5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MEMÓRIA DA </w:t>
      </w:r>
      <w:r w:rsidRPr="00BA2BFF">
        <w:rPr>
          <w:rFonts w:ascii="Calibri" w:hAnsi="Calibri"/>
          <w:b/>
          <w:sz w:val="24"/>
          <w:szCs w:val="24"/>
        </w:rPr>
        <w:t>3</w:t>
      </w:r>
      <w:r>
        <w:rPr>
          <w:rFonts w:ascii="Calibri" w:hAnsi="Calibri"/>
          <w:b/>
          <w:sz w:val="24"/>
          <w:szCs w:val="24"/>
        </w:rPr>
        <w:t>6</w:t>
      </w:r>
      <w:r w:rsidRPr="00BA2BFF">
        <w:rPr>
          <w:rFonts w:ascii="Calibri" w:hAnsi="Calibri"/>
          <w:b/>
          <w:sz w:val="24"/>
          <w:szCs w:val="24"/>
        </w:rPr>
        <w:t xml:space="preserve">ª </w:t>
      </w:r>
      <w:r w:rsidRPr="00893AA1">
        <w:rPr>
          <w:rFonts w:ascii="Calibri" w:hAnsi="Calibri"/>
          <w:b/>
          <w:sz w:val="24"/>
          <w:szCs w:val="24"/>
        </w:rPr>
        <w:t>REUNIÃO DO COLEGIADO DA REDE DE CONTROLE DA GESTÃO PÚBLICA NO ESTADO DO PARANÁ</w:t>
      </w:r>
      <w:r w:rsidRPr="00BA2BFF">
        <w:rPr>
          <w:rFonts w:ascii="Calibri" w:hAnsi="Calibri"/>
          <w:b/>
          <w:sz w:val="24"/>
          <w:szCs w:val="24"/>
        </w:rPr>
        <w:t xml:space="preserve"> </w:t>
      </w:r>
    </w:p>
    <w:p w14:paraId="216FAFBE" w14:textId="5A41D208" w:rsidR="000A61BF" w:rsidRPr="00E80E32" w:rsidRDefault="000A61BF" w:rsidP="000A6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Aos quatro dias do mês de dezembro de 2020, com início às 10h, por meio do aplicativo Zoom, foi realizada a 36ª </w:t>
      </w:r>
      <w:r w:rsidR="00432FE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eunião </w:t>
      </w:r>
      <w:r w:rsidR="00432FE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rdinária do Colegiado da Rede de Controle da Gestão Pública – PR (RCGP-PR). Participaram os representantes das seguintes instituições: </w:t>
      </w:r>
      <w:r w:rsidR="00432FE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Advocacia Geral da União – AGU,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Companhia de Tecnologia da Informação e Comunicação do Paraná – CELEPAR, Controladoria-Geral do Estado – CGE, Controladoria-Geral da União – CGU, Ministério Público de Contas do Estado – MPC, Ministério Público do Estado – MPPR, Observatório Social do Brasil – OSB, Polícia Federal – PF, Procuradoria Geral do Estado – PGE, Receita Federal do Brasil – RFB, Secretaria de Estado da Fazenda – SEFA,</w:t>
      </w:r>
      <w:r w:rsidR="00432FE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Secretaria de Estado de Segurança Pública – SESP/PR,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Tribunal de Contas do Estado – TCE, Tribunal de Contas da União – TCU e Tribunal Regional Eleitoral – TRE/PR. Registrada a ausência de representantes da ALEP, MPT, </w:t>
      </w:r>
      <w:r w:rsidR="00432FE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MPF, </w:t>
      </w:r>
      <w:r w:rsidR="00B11860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PCPR</w:t>
      </w:r>
      <w:r w:rsidR="00FE458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</w:t>
      </w:r>
      <w:r w:rsidR="00432FE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SEJUF</w:t>
      </w:r>
      <w:r w:rsidR="00FE458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54B5C737" w14:textId="05016C5E" w:rsidR="000A61BF" w:rsidRPr="00E80E32" w:rsidRDefault="000A61BF" w:rsidP="000A6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Luiz Gustavo Andreoli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representando o TCU, iniciou a reunião às 1</w:t>
      </w:r>
      <w:r w:rsidR="00FE458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0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h e deu as boas-vindas </w:t>
      </w:r>
      <w:r w:rsidR="00FE458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aos participantes e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solicitou aos</w:t>
      </w:r>
      <w:r w:rsidR="00FE458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presentes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que fizessem uma rápida apresentação.</w:t>
      </w:r>
    </w:p>
    <w:p w14:paraId="22A6F91D" w14:textId="66A9B617" w:rsidR="00FE4584" w:rsidRPr="00E80E32" w:rsidRDefault="00FF22D5" w:rsidP="000A6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Finalizada essa etapa </w:t>
      </w:r>
      <w:r w:rsidR="00FE458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passou ao primeiro tema da pauta: Finalização da coleta de assinaturas do Acordo de Cooperação.</w:t>
      </w:r>
    </w:p>
    <w:p w14:paraId="7487D1E7" w14:textId="694839E1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Gustavo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esclareceu que buscou o acordo anterior para checar o motivo da necessidade de celebrar um novo instrumento. Em razão d</w:t>
      </w:r>
      <w:r w:rsidR="0099606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aquele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possuir cláusula de vigência por prazo indeterminado foi necessário providenciar um novo acordo. Informou </w:t>
      </w:r>
      <w:r w:rsidR="0099606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que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ainda faltavam as assinaturas do </w:t>
      </w:r>
      <w:r w:rsidR="0099606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MPPR, PF e TCE. Quanto ao Tribunal de Contas do Estado foi combinado que assinaria o documento após a assinatura dos demais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198C891A" w14:textId="327ED4C2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Penélope</w:t>
      </w:r>
      <w:r w:rsidR="0099606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delegada da PF,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informou que o processo foi tramitado para Brasília com pedido de análise de urgência e acredita que em breve ter</w:t>
      </w:r>
      <w:r w:rsidR="0099606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ia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novidades sobre a assinatura do Acordo.</w:t>
      </w:r>
    </w:p>
    <w:p w14:paraId="3F74596D" w14:textId="59DCFD28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Gustavo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a ALP</w:t>
      </w:r>
      <w:r w:rsidR="0099606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que era signatária do acordo anterior</w:t>
      </w:r>
      <w:r w:rsidR="0099606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não ser</w:t>
      </w:r>
      <w:r w:rsidR="0099606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ia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mais signatária.</w:t>
      </w:r>
    </w:p>
    <w:p w14:paraId="6D97802A" w14:textId="097F5DF4" w:rsidR="00FF22D5" w:rsidRPr="00E80E32" w:rsidRDefault="0099606D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 xml:space="preserve">Bruno </w:t>
      </w:r>
      <w:r w:rsidR="00FF22D5"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Galati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MPPR,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falou que o acordo de 2014 teve o mesmo processo difícil de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coleta de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assinatura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por isso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sua vigência </w:t>
      </w:r>
      <w:r w:rsidR="00711E5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foi definida por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prazo indeterminado. </w:t>
      </w:r>
    </w:p>
    <w:p w14:paraId="681CB5BB" w14:textId="19DBB706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Maurício</w:t>
      </w:r>
      <w:r w:rsidR="00711E5A"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proofErr w:type="spellStart"/>
      <w:r w:rsidR="00711E5A"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Kalache</w:t>
      </w:r>
      <w:proofErr w:type="spellEnd"/>
      <w:r w:rsidR="00711E5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MPPR, informou que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localizaram o expediente </w:t>
      </w:r>
      <w:r w:rsidR="00711E5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sobre a assinatura do Acordo de Cooperação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no MPPR e que</w:t>
      </w:r>
      <w:r w:rsidR="00711E5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 documento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percorreu algumas instâncias necessárias pois não deixa de ser um contrato. </w:t>
      </w:r>
      <w:r w:rsidR="00711E5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Destacou que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já conversou com o Procurador</w:t>
      </w:r>
      <w:r w:rsidR="00711E5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-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Geral e que </w:t>
      </w:r>
      <w:r w:rsidR="00711E5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este faria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 assinatura tão log</w:t>
      </w:r>
      <w:r w:rsidR="00711E5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fosse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possível. Disse que a alteração do Acordo se deu em razão de entendimento da jurídica da CGU que levando em conta a lei 8</w:t>
      </w:r>
      <w:r w:rsidR="00711E5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666/93 definiu não ser possível </w:t>
      </w:r>
      <w:r w:rsidR="00711E5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 existência de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acordo por prazo indeterminado.</w:t>
      </w:r>
    </w:p>
    <w:p w14:paraId="736F91C5" w14:textId="47182ED0" w:rsidR="00FF22D5" w:rsidRPr="00E80E32" w:rsidRDefault="00502268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Esclarecida a situação sobre a assinatura do novo Acordo de Cooperação, Gustavo passou ao s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egundo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item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da pauta: “Eleição da nova Coordenação Executiva: Coordenador, Coordenador Adjunto, Secretário e Secretário Substituto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”</w:t>
      </w:r>
    </w:p>
    <w:p w14:paraId="3074A51F" w14:textId="1C03BC8A" w:rsidR="00FF22D5" w:rsidRPr="00E80E32" w:rsidRDefault="00502268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</w:t>
      </w:r>
      <w:r w:rsidR="00FF22D5"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ustavo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informou que,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conforme regimento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n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ão havendo mais interessados o MPPR por se mostrar interessado ser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ia a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clamado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para assumir a </w:t>
      </w:r>
      <w:r w:rsidR="00C50D31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oordenação da Rede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05EF561B" w14:textId="09B76225" w:rsidR="00FF22D5" w:rsidRPr="00E80E32" w:rsidRDefault="00EF3E22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 palavra foi aberta para </w:t>
      </w:r>
      <w:r w:rsidR="00C50D31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que os demais partícipes informassem se havia interesse de seus órgãos em assumir a coordenação da Rede. 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Não havendo manifestação, o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MPPR foi aclamado</w:t>
      </w:r>
      <w:r w:rsidR="002F35F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sendo indicado como novo Coordenador da Rede o Senhor Maurício </w:t>
      </w:r>
      <w:proofErr w:type="spellStart"/>
      <w:r w:rsidR="002F35F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Kalache</w:t>
      </w:r>
      <w:proofErr w:type="spellEnd"/>
      <w:r w:rsidR="002F35F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7557ED3F" w14:textId="77777777" w:rsidR="00C50D31" w:rsidRPr="00E80E32" w:rsidRDefault="00C50D31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Raul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CGE, na sequência se colocou à disposição do MPPR para auxiliar nas atividades da Rede e apoiar a Coordenação do MPPR.</w:t>
      </w:r>
    </w:p>
    <w:p w14:paraId="59F20F14" w14:textId="3610FA2E" w:rsidR="00FF22D5" w:rsidRPr="00E80E32" w:rsidRDefault="00C50D31" w:rsidP="00C50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Assim também se manifestaram os Senhores </w:t>
      </w: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André </w:t>
      </w:r>
      <w:proofErr w:type="spellStart"/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Tesser</w:t>
      </w:r>
      <w:proofErr w:type="spellEnd"/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</w:t>
      </w:r>
      <w:proofErr w:type="spellStart"/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Celepar</w:t>
      </w:r>
      <w:proofErr w:type="spellEnd"/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e </w:t>
      </w: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Gustavo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TCU.</w:t>
      </w:r>
    </w:p>
    <w:p w14:paraId="3639516D" w14:textId="5B57E7B0" w:rsidR="00FF22D5" w:rsidRPr="00E80E32" w:rsidRDefault="00C50D31" w:rsidP="00C50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Gustavo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pediu a palavra e manifestou sua gratidão por estar à frente da Rede. Ressaltou que quase 100% dos órgãos estavam presentes nas reuniões realizadas em sua gestão. Agradeceu à CGU por secretaria a Rede, parabenizou o colega Luciano (TCU) </w:t>
      </w:r>
      <w:proofErr w:type="gramStart"/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 também</w:t>
      </w:r>
      <w:proofErr w:type="gramEnd"/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parabenizou a comissão de inteligência, ao </w:t>
      </w:r>
      <w:proofErr w:type="spellStart"/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Hayashi</w:t>
      </w:r>
      <w:proofErr w:type="spellEnd"/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(SEJUF) e William (MPC) pelo trabalho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relacionado ao assunto da previdência.</w:t>
      </w:r>
    </w:p>
    <w:p w14:paraId="1AAD9B50" w14:textId="23399377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Fez dois destaques especiais</w:t>
      </w:r>
      <w:r w:rsidR="00C50D31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agradeceu ao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Rafael Ayres (TCE/PR) e Leonardo (MPPR)</w:t>
      </w:r>
      <w:r w:rsidR="00C50D31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pois s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empre que precisou</w:t>
      </w:r>
      <w:r w:rsidR="00C50D31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em poucos minutos</w:t>
      </w:r>
      <w:r w:rsidR="00C50D31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teve apoio dos colegas.</w:t>
      </w:r>
    </w:p>
    <w:p w14:paraId="112C0E87" w14:textId="55610ED8" w:rsidR="00FF22D5" w:rsidRPr="00E80E32" w:rsidRDefault="00EB2BDE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>Destacou a p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articipação do OSB em 2020.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Informou que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Ney trouxe para a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ede do P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araná 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proposta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sobre 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Força tarefa cidadã.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Dar t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ratamento mais célere para indícios de irregularidades verificados nos municípios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(nas pontas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)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com o a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poio da Rede. </w:t>
      </w:r>
    </w:p>
    <w:p w14:paraId="623608F0" w14:textId="3B10663E" w:rsidR="00FF22D5" w:rsidRPr="00E80E32" w:rsidRDefault="00EB2BDE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Disse que n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um dos municípios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por meio da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atuação de voluntário do OSB – Alexandre </w:t>
      </w:r>
      <w:proofErr w:type="spellStart"/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Gallo</w:t>
      </w:r>
      <w:proofErr w:type="spellEnd"/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e com o apoio da Rede, foi economizado cerca de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1,6 milhão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decorrente da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republicação de edital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licitação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.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Evidenciou que no d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espacho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da M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inistra do TCU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foi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registr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ada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 atuação dos parceiros da Rede (TCE e OSB)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os quais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contribuíram significativamente para o resultado.</w:t>
      </w:r>
    </w:p>
    <w:p w14:paraId="58F65444" w14:textId="50E73C65" w:rsidR="006949DC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Gustavo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tiveram 6 casos </w:t>
      </w:r>
      <w:r w:rsidR="00EB2BDE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de licitações relacionadas à emergência do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COVID</w:t>
      </w:r>
      <w:r w:rsidR="006949D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E375E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19 </w:t>
      </w:r>
      <w:r w:rsidR="006949D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(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por volta de 10 milh</w:t>
      </w:r>
      <w:r w:rsidR="006949D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ões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reais</w:t>
      </w:r>
      <w:r w:rsidR="006949D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)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 Todos esses casos</w:t>
      </w:r>
      <w:r w:rsidR="006949D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que estavam em fase de edital,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6949D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foram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trazidos </w:t>
      </w:r>
      <w:r w:rsidR="006949D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à Rede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pelo OSB. Os órgãos conversaram e atuaram para tratar as situações</w:t>
      </w:r>
      <w:r w:rsidR="00E375E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problemáticas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 Em algu</w:t>
      </w:r>
      <w:r w:rsidR="006949D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 casos havia 3 órgãos atuando na </w:t>
      </w:r>
      <w:r w:rsidR="006949D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mesma situa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ção</w:t>
      </w:r>
      <w:r w:rsidR="006949D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. </w:t>
      </w:r>
    </w:p>
    <w:p w14:paraId="5568EE23" w14:textId="36CAA9CE" w:rsidR="00751470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Gustavo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873797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falou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que</w:t>
      </w:r>
      <w:r w:rsidR="00E375E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de forma geral, 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cidadão </w:t>
      </w:r>
      <w:r w:rsidR="00E375E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possui dificuldade em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identificar a quem recorrer quando </w:t>
      </w:r>
      <w:r w:rsidR="00E375E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verifica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algum problema. Disse que a dificuldade também é encontrada pelos próprios órgãos</w:t>
      </w:r>
      <w:r w:rsidR="00E375E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que é de suma importância o trabalho conjunto.</w:t>
      </w:r>
    </w:p>
    <w:p w14:paraId="2CF8B62A" w14:textId="6186FEDE" w:rsidR="00FF22D5" w:rsidRPr="00E80E32" w:rsidRDefault="00E375E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Falou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que talvez dentro da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ede po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ssa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ser criada uma comissão ou um grupo operacional para atuar mais no controle. Alguns órgãos talvez tenham um interesse mais específico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sobre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alguns assuntos. Esse grupo atuaria em situações que requerem maior sigilo.</w:t>
      </w:r>
    </w:p>
    <w:p w14:paraId="5C71250D" w14:textId="77777777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Gustavo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pediu desculpas se pecou pela sinceridade. Agradeceu a todos novamente e passou a palavra para Maurício (MPPR).</w:t>
      </w:r>
    </w:p>
    <w:p w14:paraId="7BA73B9C" w14:textId="11427756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Maurício</w:t>
      </w:r>
      <w:r w:rsidR="002F35F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novo Coordenador da Rede, d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isse que gostaria de continuar sob a coordenação do Luiz Gustavo</w:t>
      </w:r>
      <w:r w:rsidR="002F35F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que este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tem uma liderança suave, carismática. Disse que tem um desafio enorme </w:t>
      </w:r>
      <w:r w:rsidR="002F35F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em </w:t>
      </w:r>
      <w:proofErr w:type="gramStart"/>
      <w:r w:rsidR="002F35F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suceder</w:t>
      </w:r>
      <w:proofErr w:type="gramEnd"/>
      <w:r w:rsidR="002F35F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Gustavo: pelas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características pessoais d</w:t>
      </w:r>
      <w:r w:rsidR="002F35F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este,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por ser novo no grupo e por ser pouco conhecido. Disse que primeiro precisa</w:t>
      </w:r>
      <w:r w:rsidR="002F35F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rá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se fazer conhecido</w:t>
      </w:r>
      <w:r w:rsidR="002F35F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 que tomará algum tempo da </w:t>
      </w:r>
      <w:r w:rsidR="002F35F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ede. </w:t>
      </w:r>
      <w:r w:rsidR="002F35F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Destacou que passa a ter g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rande responsabilidade.</w:t>
      </w:r>
    </w:p>
    <w:p w14:paraId="59A6D258" w14:textId="7E0974B6" w:rsidR="00FF22D5" w:rsidRPr="00E80E32" w:rsidRDefault="002F35FA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Ressaltou que p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ela vontade dos colegas Gustavo não deixaria a Coordenação.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 pediu para que antes de deixar a Coordenação, Gustavo aproveitasse o seu mandato e preenchesse os demais cargos da Rede: Coordenador Adjunto, o Secretário e Secretário substituto.</w:t>
      </w:r>
    </w:p>
    <w:p w14:paraId="1079CA25" w14:textId="00E80A2B" w:rsidR="00FF22D5" w:rsidRPr="00E80E32" w:rsidRDefault="002F35FA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Gustavo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retomou a palavra e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questionou se algum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Ó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rgão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F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ederal gostaria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fazer parte d</w:t>
      </w:r>
      <w:r w:rsidR="00971772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 composição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  <w:r w:rsidR="00971772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Após algumas manifestações, assim </w:t>
      </w:r>
      <w:r w:rsidR="002C675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ficou </w:t>
      </w:r>
      <w:r w:rsidR="002C675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 xml:space="preserve">composta a </w:t>
      </w:r>
      <w:r w:rsidR="00971772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Rede: Coordenação, MPPR, </w:t>
      </w:r>
      <w:proofErr w:type="spellStart"/>
      <w:r w:rsidR="00971772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Vice-Coordenação</w:t>
      </w:r>
      <w:proofErr w:type="spellEnd"/>
      <w:r w:rsidR="00971772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TCU, Secretaria, CGE, e </w:t>
      </w:r>
      <w:proofErr w:type="spellStart"/>
      <w:r w:rsidR="00971772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Vice-Secretaria</w:t>
      </w:r>
      <w:proofErr w:type="spellEnd"/>
      <w:r w:rsidR="00971772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CGU.</w:t>
      </w:r>
    </w:p>
    <w:p w14:paraId="390C53FB" w14:textId="3E53D3B6" w:rsidR="00FF22D5" w:rsidRPr="00E80E32" w:rsidRDefault="00751470" w:rsidP="00751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Na sequência </w:t>
      </w: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Maurício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agradeceu ao Gustavo e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destacou que todos os órgãos devem atuar com a mesma importância e que tem a compreensão que cada instituição tem seu tempo e seu modo de atuar.</w:t>
      </w:r>
    </w:p>
    <w:p w14:paraId="28FEA571" w14:textId="14873DF9" w:rsidR="00FF22D5" w:rsidRPr="00E80E32" w:rsidRDefault="00751470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Disse que à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 vezes as instituições participam de forma muito personalista.</w:t>
      </w:r>
      <w:r w:rsidR="00552E70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que n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em sempre o colega que participa da</w:t>
      </w:r>
      <w:r w:rsidR="00552E70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 reuniões da Re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de passa essas informações para o </w:t>
      </w:r>
      <w:r w:rsidR="00552E70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seu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órgão </w:t>
      </w:r>
      <w:r w:rsidR="00552E70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ou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divulga as atas da </w:t>
      </w:r>
      <w:r w:rsidR="00552E70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ede</w:t>
      </w:r>
      <w:r w:rsidR="00552E70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sendo necessário a cada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nova reunião recomeçar</w:t>
      </w:r>
      <w:r w:rsidR="00552E70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demandando um grande tempo para inteirar os presentes sobre os temas discutidos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4C1DB10C" w14:textId="16AD0E9C" w:rsidR="00FF22D5" w:rsidRPr="00E80E32" w:rsidRDefault="00552E70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Frisou que o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 indivíduos estão representando os órgãos e devem ter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compromisso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de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divulgar as informações da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ede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para a sua instituição, de forma que o maior número de pessoas do órgão saiba o que de fato acontece</w:t>
      </w:r>
      <w:r w:rsidR="00E00F7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na Rede.</w:t>
      </w:r>
    </w:p>
    <w:p w14:paraId="5C1005CA" w14:textId="5811BA8E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Suger</w:t>
      </w:r>
      <w:r w:rsidR="00E00F7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iu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que seja feita uma clara distinção entre o que são as reuniões ordinári</w:t>
      </w:r>
      <w:r w:rsidR="00E00F7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 no plenário e as reuniões da </w:t>
      </w:r>
      <w:r w:rsidR="00E00F7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ede. </w:t>
      </w:r>
      <w:r w:rsidR="00E00F7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 pediu aos presentes que tragam mais servidores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para participarem da </w:t>
      </w:r>
      <w:r w:rsidR="00E00F7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ede. Que os membros da</w:t>
      </w:r>
      <w:r w:rsidR="00E00F7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comiss</w:t>
      </w:r>
      <w:r w:rsidR="00E00F7A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ões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sejam diferentes daqueles que participam do plenário.</w:t>
      </w:r>
    </w:p>
    <w:p w14:paraId="6DBB0520" w14:textId="680325D3" w:rsidR="00FF22D5" w:rsidRPr="00E80E32" w:rsidRDefault="00E00F7A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Maurício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informou que o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MPPR gostaria de sugerir vários nomes da instituição para participarem das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comissões da Rede e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acompanharem as tarefas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realizadas por esta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 Além</w:t>
      </w:r>
      <w:r w:rsidR="005F5E26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da participação permanente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do Dr. Bruno, Leonardo e Cláudio Félix </w:t>
      </w:r>
      <w:r w:rsidR="005F5E26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as comissões</w:t>
      </w:r>
      <w:r w:rsidR="005F5E26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outros colegas também serão chamados a participar. </w:t>
      </w:r>
      <w:r w:rsidR="005F5E26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objetivo é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divulgar as info</w:t>
      </w:r>
      <w:r w:rsidR="005F5E26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ma</w:t>
      </w:r>
      <w:r w:rsidR="005F5E26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ções para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que a ideia da cooperação não se perca.</w:t>
      </w:r>
    </w:p>
    <w:p w14:paraId="3AC0884C" w14:textId="23F0F48E" w:rsidR="00FF22D5" w:rsidRPr="00E80E32" w:rsidRDefault="005F5E26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Maurício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pediu para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cada uma das instituições presentes não só </w:t>
      </w:r>
      <w:proofErr w:type="gramStart"/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divulgar</w:t>
      </w:r>
      <w:proofErr w:type="gramEnd"/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mas procurar indicar o maior número de colegas com o perfil adequado para as comissões para que as instituições não vivam uma entressafra de representação no grupo.</w:t>
      </w:r>
    </w:p>
    <w:p w14:paraId="0739A634" w14:textId="004816B3" w:rsidR="00FF22D5" w:rsidRPr="00E80E32" w:rsidRDefault="005F5E26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Sobre a criação de um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grupo operacional, </w:t>
      </w: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Maurício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primeir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amente gostaria de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parabenizar Luiz Gustavo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pela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sugestão e depois aderir a ideia.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Destacou que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Ney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(OSB) possui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reclamações de diversos cidadãos e pretende que a Rede entregue uma solução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mas no ambiente da reunião plenária dificilmente conseguirá resolver a situação. Precisa ter no âmbito do colegiado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sem se confundir com o colegiado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um grupo que pudesse se</w:t>
      </w:r>
      <w:r w:rsidR="00E41931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encarregar do operacional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 N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ão significa que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grupo resolverá </w:t>
      </w:r>
      <w:r w:rsidR="00481DF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os </w:t>
      </w:r>
      <w:proofErr w:type="gramStart"/>
      <w:r w:rsidR="00481DF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problemas</w:t>
      </w:r>
      <w:proofErr w:type="gramEnd"/>
      <w:r w:rsidR="00481DF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mas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terá </w:t>
      </w:r>
      <w:r w:rsidR="00481DF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responsabilidade</w:t>
      </w:r>
      <w:r w:rsidR="00481DF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no âmbito da </w:t>
      </w:r>
      <w:r w:rsidR="009805A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respectiva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instituição</w:t>
      </w:r>
      <w:r w:rsidR="009805A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divulgar o fato e procurar a solução.</w:t>
      </w:r>
    </w:p>
    <w:p w14:paraId="49A9BD28" w14:textId="5DF8B404" w:rsidR="00FF22D5" w:rsidRPr="00E80E32" w:rsidRDefault="005F5E26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>Ressaltou que n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ão é possível realizar no âmbito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do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colegiado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compartilha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mento de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informações de cunho sigiloso. </w:t>
      </w:r>
      <w:r w:rsidR="00481DF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Há 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necessidade de ter um grupo na rede para tratar dos casos concretos ou para colocar em prática um plano de ação que o colegiado entenda </w:t>
      </w:r>
      <w:r w:rsidR="00481DF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ser necessário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0FCA7E14" w14:textId="246BEECC" w:rsidR="00FF22D5" w:rsidRPr="00E80E32" w:rsidRDefault="00324E2B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Avisou que sua pri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meira contribuição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seria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sujeitar a ideia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da criação do grupo operacional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ao colegiado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forma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que os membros manifestassem </w:t>
      </w:r>
      <w:proofErr w:type="gramStart"/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</w:t>
      </w:r>
      <w:proofErr w:type="gramEnd"/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vontade em participar.</w:t>
      </w:r>
    </w:p>
    <w:p w14:paraId="2A1E1047" w14:textId="00710042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Valéria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977923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(MPC) pediu a palavra e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disse que o grupo</w:t>
      </w:r>
      <w:r w:rsidR="00977923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operacional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poderia atuar em razão da situação concreta.</w:t>
      </w:r>
    </w:p>
    <w:p w14:paraId="1E702206" w14:textId="493661CE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Maurício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873797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mencionou</w:t>
      </w:r>
      <w:r w:rsidR="00977923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que seria interessante que a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PF </w:t>
      </w:r>
      <w:r w:rsidR="00977923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atuasse no grupo. No entanto, </w:t>
      </w: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Penélope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977923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informou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que conversar</w:t>
      </w:r>
      <w:r w:rsidR="00977923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ia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com as instâncias superiores para dar uma resposta sobre a participação d</w:t>
      </w:r>
      <w:r w:rsidR="00977923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 Órgão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4ED5FE12" w14:textId="1FF27230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Maurício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questionou a SESP sobre o interesse em participar. </w:t>
      </w:r>
      <w:r w:rsidR="00977923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servidor </w:t>
      </w:r>
      <w:proofErr w:type="spellStart"/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Campolim</w:t>
      </w:r>
      <w:proofErr w:type="spellEnd"/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BC003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disse que daria uma resposta após consultar o Secretário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0280D3BB" w14:textId="26D12080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Raul</w:t>
      </w:r>
      <w:r w:rsidR="00BC003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CGE</w:t>
      </w:r>
      <w:r w:rsidR="00BC003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)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colocou o órgão à disposição</w:t>
      </w:r>
      <w:r w:rsidR="00BC003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proofErr w:type="gramStart"/>
      <w:r w:rsidR="00BC003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 também</w:t>
      </w:r>
      <w:proofErr w:type="gramEnd"/>
      <w:r w:rsidR="00BC003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já poderia colocar a SESP à disposição pois tem contato com o Governador e que há interesse do Estado em colaborar com a Rede de Controle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23476296" w14:textId="77777777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Valéria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precisa pensar na modelagem de forma que não comprometa o funcionamento do grupo. Que a atuação poderia ocorrer conforme o caso concreto.</w:t>
      </w:r>
    </w:p>
    <w:p w14:paraId="049DCA12" w14:textId="34C51411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Penélope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757F4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disse acreditar ser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prematuro fazer o desenho do grupo. Que seria necessário fazer uma conversa entre os membros e trazer a modelagem mais amadureci</w:t>
      </w:r>
      <w:r w:rsidR="00757F4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 na próxima reunião.</w:t>
      </w:r>
    </w:p>
    <w:p w14:paraId="345DDA26" w14:textId="079F9C28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Maurício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se satisfaz inicialmente com a criação do grupo e posteriormente na próxima reunião será feita a sua composição.</w:t>
      </w:r>
    </w:p>
    <w:p w14:paraId="0F86B3D5" w14:textId="0C27FEBA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Gustavo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757F4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ponderou que Valé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ria tem razão no sentido de tomar mais cuidado com a composição da Rede. Gustavo disse que verificará quais outras redes possuem esse grupo operacional e numa próxima reunião (com os órgãos que tem interesse no grupo) </w:t>
      </w:r>
      <w:r w:rsidR="00757F4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poderá ser </w:t>
      </w:r>
      <w:r w:rsidR="00E85D01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discutido </w:t>
      </w:r>
      <w:r w:rsidR="00757F4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 desenho do grupo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3DADA58E" w14:textId="5BA7C7D2" w:rsidR="00FF22D5" w:rsidRPr="00E80E32" w:rsidRDefault="00A14988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Destacou que o objetivo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é apartar assuntos de forma informal. Mas talvez surjam assuntos que nem para o grupo operacional possa ser levado.</w:t>
      </w:r>
    </w:p>
    <w:p w14:paraId="42E9CD43" w14:textId="41CDC68E" w:rsidR="00FF22D5" w:rsidRPr="00E80E32" w:rsidRDefault="00A14988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Exemplificou que o TCU possui interesse em conhecer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melhor a terceirização ou quarteirização na área de saúde.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Disse que poderia utilizar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 xml:space="preserve">as informações do </w:t>
      </w:r>
      <w:proofErr w:type="gramStart"/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grupo</w:t>
      </w:r>
      <w:proofErr w:type="gramEnd"/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mas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que poderia haver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algum conflito de informaçõe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s, impedindo que essas fossem utilizadas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. 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Esclareceu que é preciso estabelecer um l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imite no grupo quanto às atribuições e troca de informações. Limite quanto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às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tratativas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de assuntos mais sensíveis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1E745012" w14:textId="4731E397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Maurício</w:t>
      </w:r>
      <w:r w:rsidR="00A14988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informou que a necessidade do grupo operacional se justifica não para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tratar de assuntos ordinários e de funções tradicionais. O objetivo é </w:t>
      </w:r>
      <w:r w:rsidR="00A14988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funcionar como uma porta de entrada para trabalhos mais específicos.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Quando houver um assunto interinstitucional</w:t>
      </w:r>
      <w:r w:rsidR="00A14988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os membros </w:t>
      </w:r>
      <w:r w:rsidR="00A14988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do grupo operacional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ficar</w:t>
      </w:r>
      <w:r w:rsidR="00A14988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ão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responsáveis por levar o assunto aos órgãos com o objetivo de trazer uma solução mais pontual. Sem comprometer a liderança das instituições.</w:t>
      </w:r>
    </w:p>
    <w:p w14:paraId="6F307603" w14:textId="0446E201" w:rsidR="00FF22D5" w:rsidRPr="00E80E32" w:rsidRDefault="007E2DAF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Novamente ressaltou que é necessário e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nvolver mais atores das instituições com os compromissos da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ede.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Pediu para que fossem confirmados os representantes das comissões permanentes ou novas indicações fossem realizadas pelos órgãos.</w:t>
      </w:r>
    </w:p>
    <w:p w14:paraId="0AFE2A2B" w14:textId="63BB23A2" w:rsidR="00FF22D5" w:rsidRPr="00E80E32" w:rsidRDefault="00873797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Destacou </w:t>
      </w:r>
      <w:r w:rsidR="007E2DA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que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atualmente a AGU não possui representante indicado </w:t>
      </w:r>
      <w:r w:rsidR="007E2DA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para 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Comissão </w:t>
      </w:r>
      <w:r w:rsidR="007E2DA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de Capacitação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53A4696B" w14:textId="5869B1BD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Combin</w:t>
      </w:r>
      <w:r w:rsidR="007E2DA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ou que seriam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encaminhados ofícios ou e-mails para todas as instituições para que confirm</w:t>
      </w:r>
      <w:r w:rsidR="007E2DA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assem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ou indi</w:t>
      </w:r>
      <w:r w:rsidR="007E2DA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cassem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os membros das comissões. Sugeri</w:t>
      </w:r>
      <w:r w:rsidR="0008779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u que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não se rep</w:t>
      </w:r>
      <w:r w:rsidR="0008779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</w:t>
      </w:r>
      <w:r w:rsidR="00087794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isse nas comissões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 servidor que já participa do plenário.</w:t>
      </w:r>
    </w:p>
    <w:p w14:paraId="656D17BE" w14:textId="235F2F76" w:rsidR="00FF22D5" w:rsidRPr="00E80E32" w:rsidRDefault="00404279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Maurício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FF756E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informou que deixaria a próxima r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eunião da Rede </w:t>
      </w:r>
      <w:r w:rsidR="00FF756E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previamente agendada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para o dia 05 de fevereiro de 2021, às 10h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2534C71E" w14:textId="4E7485F2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Raul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FF756E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ugeriu realizar a reunião bimestral</w:t>
      </w:r>
      <w:r w:rsidR="00FF756E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mente,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sempre na primeira sexta-feira do m</w:t>
      </w:r>
      <w:r w:rsidR="00FF756E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ê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s, às 10h. </w:t>
      </w:r>
    </w:p>
    <w:p w14:paraId="74C77D5F" w14:textId="4802CC6C" w:rsidR="00FF22D5" w:rsidRPr="00E80E32" w:rsidRDefault="00FF756E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Maurício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destacou que as reuniões das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comissões podem acontecer quantas vezes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os membros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quiserem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reservando as reuni</w:t>
      </w:r>
      <w:r w:rsidR="00F01162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ões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do plenário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para as decisões macro. Destacou que a Rede precisa ter mais visibilidade, inicialmente dentro das entidade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24219D8D" w14:textId="4D4AFC96" w:rsidR="00FF22D5" w:rsidRPr="00E80E32" w:rsidRDefault="00F01162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Antes de finalizar a reunião </w:t>
      </w: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Bruno Galati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pediu a palavra e </w:t>
      </w:r>
      <w:r w:rsidR="00190C20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agradeceu ao Luiz Gustavo por sua gestão. </w:t>
      </w:r>
      <w:r w:rsidR="0082474D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Destacou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alguns acontecimentos decorrentes da atuação da Rede</w:t>
      </w:r>
      <w:r w:rsidR="009B326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em especial a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comendação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assinada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pelo TCE e</w:t>
      </w:r>
      <w:r w:rsidR="009B326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pelo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MPPR </w:t>
      </w:r>
      <w:r w:rsidR="009C4F42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sobre a necessidade de dar transparência aos gastos para enfrentamento da COVID-19, </w:t>
      </w:r>
      <w:r w:rsidR="009B326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encaminhada ao</w:t>
      </w:r>
      <w:r w:rsidR="009C4F42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</w:t>
      </w:r>
      <w:r w:rsidR="009B326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prefeitos</w:t>
      </w:r>
      <w:r w:rsidR="009C4F42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. Galati informou que a recomendação foi </w:t>
      </w:r>
      <w:r w:rsidR="00387478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baseada em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requisitos aprovados pela Rede</w:t>
      </w:r>
      <w:r w:rsidR="009C4F42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que foi um grande acontecimento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38A5DD66" w14:textId="7F2567E3" w:rsidR="00FF22D5" w:rsidRPr="00E80E32" w:rsidRDefault="009C4F42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 xml:space="preserve">Falou também sobre o trabalho relacionado à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fiscalização dos portais </w:t>
      </w:r>
      <w:r w:rsidR="006A5D6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em relação às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informações relacionadas ao COVID.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Sobre a decisão do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TCU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baseada em trabalho d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 Rede. </w:t>
      </w:r>
      <w:r w:rsidR="006A5D6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Sobre o trabalho desenvolvido, na gestão do Gustavo, em demandas que chegaram especificamente da sociedade.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Ressaltou que tudo isso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é mérito da gestão da Rede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mesmo com suas dificuldades a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Rede está avançando.</w:t>
      </w:r>
    </w:p>
    <w:p w14:paraId="26992735" w14:textId="5C81F066" w:rsidR="006A5D6F" w:rsidRPr="00E80E32" w:rsidRDefault="006A5D6F" w:rsidP="006A5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Bruno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falou sobre a importância de manter um grupo de trabalho formado pelo TCE, TCU, CGU e MPPR. Talvez sendo necessário aproximar o </w:t>
      </w:r>
      <w:proofErr w:type="spellStart"/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MPContas</w:t>
      </w:r>
      <w:proofErr w:type="spellEnd"/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 É preciso definir requisitos mais uniformes para os portais de transparência e considera muito importante que a Rede continue a trabalhar nesse assunto.</w:t>
      </w:r>
    </w:p>
    <w:p w14:paraId="7FF05237" w14:textId="1707A6BC" w:rsidR="006A5D6F" w:rsidRPr="00E80E32" w:rsidRDefault="006A5D6F" w:rsidP="006A5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Deixou seu abraço ao Gustavo por todo o trabalho desenvolvido, novamente reconhecendo sua liderança, e desejou ao Maurício, novo Coordenador da Rede, sucesso e ótimo final de ano para todos.</w:t>
      </w:r>
    </w:p>
    <w:p w14:paraId="73301DDA" w14:textId="455184D6" w:rsidR="00FF22D5" w:rsidRPr="00E80E32" w:rsidRDefault="00FF22D5" w:rsidP="00FF2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Maurício</w:t>
      </w:r>
      <w:r w:rsidR="009C4F42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retomou a palavra e </w:t>
      </w:r>
      <w:r w:rsidR="006A5D6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disse que há um r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econhecimento pela capacidade </w:t>
      </w:r>
      <w:r w:rsidR="006A5D6F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do Gustavo </w:t>
      </w: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de encantar.</w:t>
      </w:r>
    </w:p>
    <w:p w14:paraId="6DB50473" w14:textId="6660678B" w:rsidR="00C9117C" w:rsidRPr="00E80E32" w:rsidRDefault="006A5D6F" w:rsidP="00C91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Agradeceu </w:t>
      </w:r>
      <w:r w:rsidR="00C9117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indicação para g</w:t>
      </w:r>
      <w:r w:rsidR="00C9117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renci</w:t>
      </w:r>
      <w:r w:rsidR="00C9117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 o grupo. Desej</w:t>
      </w:r>
      <w:r w:rsidR="00C9117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ou que em </w:t>
      </w:r>
      <w:r w:rsidR="00FF22D5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2021 todos os sonhos e propósitos que ficaram adiados pela COVID</w:t>
      </w:r>
      <w:r w:rsidR="00C9117C" w:rsidRPr="00E80E3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se realizem, sendo a reunião encerrada às 12h.</w:t>
      </w:r>
    </w:p>
    <w:sectPr w:rsidR="00C9117C" w:rsidRPr="00E80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D0"/>
    <w:rsid w:val="00087794"/>
    <w:rsid w:val="000A3323"/>
    <w:rsid w:val="000A61BF"/>
    <w:rsid w:val="0015232C"/>
    <w:rsid w:val="00160209"/>
    <w:rsid w:val="00190C20"/>
    <w:rsid w:val="002C675A"/>
    <w:rsid w:val="002F0DF9"/>
    <w:rsid w:val="002F35FA"/>
    <w:rsid w:val="00305780"/>
    <w:rsid w:val="00324E2B"/>
    <w:rsid w:val="00387478"/>
    <w:rsid w:val="0040339E"/>
    <w:rsid w:val="00404279"/>
    <w:rsid w:val="00432FED"/>
    <w:rsid w:val="00472749"/>
    <w:rsid w:val="00481DF4"/>
    <w:rsid w:val="004B289B"/>
    <w:rsid w:val="004E1800"/>
    <w:rsid w:val="00502268"/>
    <w:rsid w:val="00552E70"/>
    <w:rsid w:val="005D6D36"/>
    <w:rsid w:val="005F5E26"/>
    <w:rsid w:val="006374D0"/>
    <w:rsid w:val="006949DC"/>
    <w:rsid w:val="006963D6"/>
    <w:rsid w:val="006A5D6F"/>
    <w:rsid w:val="00711E5A"/>
    <w:rsid w:val="00751470"/>
    <w:rsid w:val="00757F44"/>
    <w:rsid w:val="007970E4"/>
    <w:rsid w:val="007D2F52"/>
    <w:rsid w:val="007E2DAF"/>
    <w:rsid w:val="00805FF0"/>
    <w:rsid w:val="0082474D"/>
    <w:rsid w:val="00873797"/>
    <w:rsid w:val="00971772"/>
    <w:rsid w:val="00977923"/>
    <w:rsid w:val="009805AD"/>
    <w:rsid w:val="0099606D"/>
    <w:rsid w:val="009B326F"/>
    <w:rsid w:val="009C4F42"/>
    <w:rsid w:val="009D75A4"/>
    <w:rsid w:val="00A14988"/>
    <w:rsid w:val="00B11860"/>
    <w:rsid w:val="00B36FED"/>
    <w:rsid w:val="00B54071"/>
    <w:rsid w:val="00B91A2E"/>
    <w:rsid w:val="00BA0B48"/>
    <w:rsid w:val="00BC003F"/>
    <w:rsid w:val="00C50D31"/>
    <w:rsid w:val="00C9117C"/>
    <w:rsid w:val="00D3231E"/>
    <w:rsid w:val="00D57EC6"/>
    <w:rsid w:val="00E00F7A"/>
    <w:rsid w:val="00E375E5"/>
    <w:rsid w:val="00E41931"/>
    <w:rsid w:val="00E80E32"/>
    <w:rsid w:val="00E85D01"/>
    <w:rsid w:val="00EB2BDE"/>
    <w:rsid w:val="00EF3E22"/>
    <w:rsid w:val="00F01162"/>
    <w:rsid w:val="00F24431"/>
    <w:rsid w:val="00F5718B"/>
    <w:rsid w:val="00FE4584"/>
    <w:rsid w:val="00FF22D5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46CD"/>
  <w15:chartTrackingRefBased/>
  <w15:docId w15:val="{65D6AC62-6986-4977-84D3-C5FF6869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5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7</Pages>
  <Words>2219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Pirkiel</dc:creator>
  <cp:keywords/>
  <dc:description/>
  <cp:lastModifiedBy>Elaine Cristina Pirkiel</cp:lastModifiedBy>
  <cp:revision>37</cp:revision>
  <dcterms:created xsi:type="dcterms:W3CDTF">2020-12-04T12:51:00Z</dcterms:created>
  <dcterms:modified xsi:type="dcterms:W3CDTF">2021-01-13T10:49:00Z</dcterms:modified>
</cp:coreProperties>
</file>