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FB97E" w14:textId="77777777" w:rsidR="00BA2BFF" w:rsidRDefault="00BA2BFF" w:rsidP="00BA2BFF">
      <w:pPr>
        <w:jc w:val="center"/>
        <w:rPr>
          <w:rFonts w:ascii="Calibri" w:hAnsi="Calibri"/>
          <w:b/>
          <w:sz w:val="24"/>
          <w:szCs w:val="24"/>
        </w:rPr>
      </w:pPr>
      <w:r w:rsidRPr="007A041B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33BB7BE" wp14:editId="1504CADF">
            <wp:extent cx="5400040" cy="67515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753F1" w14:textId="31F68377" w:rsidR="00BD7F18" w:rsidRPr="00BA2BFF" w:rsidRDefault="00BA2BFF" w:rsidP="00BA2BFF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MEMÓRIA DA </w:t>
      </w:r>
      <w:r w:rsidR="00BD7F18" w:rsidRPr="00BA2BFF">
        <w:rPr>
          <w:rFonts w:ascii="Calibri" w:hAnsi="Calibri"/>
          <w:b/>
          <w:sz w:val="24"/>
          <w:szCs w:val="24"/>
        </w:rPr>
        <w:t>3</w:t>
      </w:r>
      <w:r w:rsidR="008D0E0F" w:rsidRPr="00BA2BFF">
        <w:rPr>
          <w:rFonts w:ascii="Calibri" w:hAnsi="Calibri"/>
          <w:b/>
          <w:sz w:val="24"/>
          <w:szCs w:val="24"/>
        </w:rPr>
        <w:t>5</w:t>
      </w:r>
      <w:r w:rsidR="00BD7F18" w:rsidRPr="00BA2BFF">
        <w:rPr>
          <w:rFonts w:ascii="Calibri" w:hAnsi="Calibri"/>
          <w:b/>
          <w:sz w:val="24"/>
          <w:szCs w:val="24"/>
        </w:rPr>
        <w:t xml:space="preserve">ª </w:t>
      </w:r>
      <w:r w:rsidRPr="00893AA1">
        <w:rPr>
          <w:rFonts w:ascii="Calibri" w:hAnsi="Calibri"/>
          <w:b/>
          <w:sz w:val="24"/>
          <w:szCs w:val="24"/>
        </w:rPr>
        <w:t>REUNIÃO DO COLEGIADO DA REDE DE CONTROLE DA GESTÃO PÚBLICA NO ESTADO DO PARANÁ</w:t>
      </w:r>
      <w:r w:rsidR="00BD7F18" w:rsidRPr="00BA2BFF">
        <w:rPr>
          <w:rFonts w:ascii="Calibri" w:hAnsi="Calibri"/>
          <w:b/>
          <w:sz w:val="24"/>
          <w:szCs w:val="24"/>
        </w:rPr>
        <w:t xml:space="preserve"> </w:t>
      </w:r>
    </w:p>
    <w:p w14:paraId="16CBFF86" w14:textId="6A25176D" w:rsidR="00BD7F18" w:rsidRPr="00BD7F18" w:rsidRDefault="00BD7F18" w:rsidP="00B00B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Aos </w:t>
      </w:r>
      <w:r w:rsidR="008D0E0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quinze</w:t>
      </w:r>
      <w:r w:rsidR="00414AC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dias do mês de </w:t>
      </w:r>
      <w:r w:rsidR="008D0E0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outubro</w:t>
      </w:r>
      <w:r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de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20</w:t>
      </w:r>
      <w:r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com início às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1</w:t>
      </w:r>
      <w:r w:rsidR="00414AC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4</w:t>
      </w:r>
      <w:r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h</w:t>
      </w:r>
      <w:r w:rsidR="00414AC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30</w:t>
      </w:r>
      <w:r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por meio do aplicativo Zoom</w:t>
      </w:r>
      <w:r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foi realizada a </w:t>
      </w:r>
      <w:r w:rsidR="00EB7EE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3</w:t>
      </w:r>
      <w:r w:rsidR="008D0E0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5</w:t>
      </w:r>
      <w:r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ª reunião ordinária do Colegiado da Rede de Controle da Gestão Pública – PR (RCGP-PR). </w:t>
      </w:r>
      <w:r w:rsidR="00EB7EE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Participaram os representantes das seguintes instituições: </w:t>
      </w:r>
      <w:r w:rsidR="00191C1A"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Tribunal de Contas da União – TCU</w:t>
      </w:r>
      <w:r w:rsidR="00191C1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</w:t>
      </w:r>
      <w:r w:rsidR="00191C1A"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A03A91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Secretaria de Segurança Pública - SESP/PR, </w:t>
      </w:r>
      <w:r w:rsidR="00191C1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Secretaria de Estado da Fazenda – SEFA, </w:t>
      </w:r>
      <w:r w:rsidR="00E670F1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Polícia Federal – PF, </w:t>
      </w:r>
      <w:r w:rsidR="00191C1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Receita Federal do Brasil – RFB,</w:t>
      </w:r>
      <w:r w:rsidR="00E670F1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E670F1"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Procuradoria Geral do Estado </w:t>
      </w:r>
      <w:r w:rsidR="00E670F1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–</w:t>
      </w:r>
      <w:r w:rsidR="00E670F1"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PGE</w:t>
      </w:r>
      <w:r w:rsidR="00191C1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</w:t>
      </w:r>
      <w:r w:rsidR="00191C1A"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Tribunal Regional Eleitoral – TRE/PR</w:t>
      </w:r>
      <w:r w:rsidR="00191C1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</w:t>
      </w:r>
      <w:r w:rsidR="00EB7EE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Controladoria-Geral da União – CGU, </w:t>
      </w:r>
      <w:r w:rsidR="000C08E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Companhia de Tecnologia da Informação e Comunicação do </w:t>
      </w:r>
      <w:r w:rsidR="000C08EC"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Paraná –</w:t>
      </w:r>
      <w:r w:rsidR="000C08E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CELEPAR, </w:t>
      </w:r>
      <w:r w:rsidR="00EE6261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Ministério Público Federal – MPF, </w:t>
      </w:r>
      <w:r w:rsidR="00822FDB"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Tribunal de Contas do Estado – TCE</w:t>
      </w:r>
      <w:r w:rsidR="00822FD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</w:t>
      </w:r>
      <w:r w:rsidR="00245031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Observatório Social do Brasil – OSB, Ministério Público de Contas do Estado – MPC e </w:t>
      </w:r>
      <w:r w:rsidR="00EE6261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Ministério Público do Estado </w:t>
      </w:r>
      <w:r w:rsidR="00F76D17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–</w:t>
      </w:r>
      <w:r w:rsidR="00EE6261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MPPR</w:t>
      </w:r>
      <w:r w:rsidR="006C51FD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. </w:t>
      </w:r>
      <w:r w:rsidR="006C51FD"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Registrada a ausência de representantes da</w:t>
      </w:r>
      <w:r w:rsidR="006C51FD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EE6261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</w:t>
      </w:r>
      <w:r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ecretaria de Estado da Justiça, Família e Trabalho – SEJUF, </w:t>
      </w:r>
      <w:r w:rsidR="00F4136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AGU, </w:t>
      </w:r>
      <w:r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ALEP</w:t>
      </w:r>
      <w:r w:rsidR="008E0E5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 MPT</w:t>
      </w:r>
      <w:r w:rsidR="006C51FD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</w:t>
      </w:r>
      <w:r w:rsidR="003B45B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PCPR</w:t>
      </w:r>
      <w:r w:rsidR="006C51FD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  <w:r w:rsidR="008D0E0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</w:p>
    <w:p w14:paraId="607AB6A3" w14:textId="209219D3" w:rsidR="00821CFA" w:rsidRDefault="008E0E5C" w:rsidP="00B00B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Luiz Gustavo Andreoli</w:t>
      </w:r>
      <w:r w:rsidR="00BD7F18"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 representando o</w:t>
      </w:r>
      <w:r w:rsidR="00AD480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TCU</w:t>
      </w:r>
      <w:r w:rsidR="00BD7F18"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</w:t>
      </w:r>
      <w:r w:rsidR="00821CF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iniciou a reunião às 14h30 e deu as boas-vindas</w:t>
      </w:r>
      <w:r w:rsidR="0094598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a todos e</w:t>
      </w:r>
      <w:r w:rsidR="00821CF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solicitou aos demais membros que fizessem uma rápida apresentação.</w:t>
      </w:r>
    </w:p>
    <w:p w14:paraId="38FB79ED" w14:textId="2C03EE2E" w:rsidR="000738EB" w:rsidRDefault="00821CFA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Concluídas as apresentações, </w:t>
      </w:r>
      <w:r w:rsidRPr="00821CF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Luiz Gustavo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9F150E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iniciou a reunião com o primeiro item da pauta, a</w:t>
      </w:r>
      <w:r w:rsidR="000738EB" w:rsidRPr="009F150E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ssinatura do novo Acordo de Cooperação</w:t>
      </w:r>
      <w:r w:rsidR="009F150E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</w:t>
      </w:r>
      <w:r w:rsidR="009569F4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o qual não foi assinado por </w:t>
      </w:r>
      <w:r w:rsidR="00410F3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alguns órgãos</w:t>
      </w:r>
      <w:r w:rsidR="009F150E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: ALEP não assinou e não tem participado das reuniões, será nec</w:t>
      </w:r>
      <w:r w:rsidR="00BF7E9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</w:t>
      </w:r>
      <w:r w:rsidR="009F150E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ssário fazer um contato direto com o </w:t>
      </w:r>
      <w:r w:rsidR="009569F4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Ó</w:t>
      </w:r>
      <w:r w:rsidR="009F150E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rgão</w:t>
      </w:r>
      <w:r w:rsidR="00410F3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;</w:t>
      </w:r>
      <w:r w:rsidR="00BF7E9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o Sr</w:t>
      </w:r>
      <w:r w:rsidR="000A504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  <w:r w:rsidR="00BF7E9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Leandro da CELEPAR conseguiu assinar</w:t>
      </w:r>
      <w:r w:rsidR="00410F3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; do MPPR</w:t>
      </w:r>
      <w:r w:rsidR="005914B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não havia representante na reunião</w:t>
      </w:r>
      <w:r w:rsidR="00D82037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no momento</w:t>
      </w:r>
      <w:r w:rsidR="00112C77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;</w:t>
      </w:r>
      <w:r w:rsidR="00A826A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PCPR e</w:t>
      </w:r>
      <w:r w:rsidR="00D82037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SESP não assin</w:t>
      </w:r>
      <w:r w:rsidR="00A826A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aram </w:t>
      </w:r>
      <w:r w:rsidR="00D82037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ainda</w:t>
      </w:r>
      <w:r w:rsidR="009569F4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 O</w:t>
      </w:r>
      <w:r w:rsidR="001C08A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Delegado Alan Flore está como contato d</w:t>
      </w:r>
      <w:r w:rsidR="009569F4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essas </w:t>
      </w:r>
      <w:r w:rsidR="001C08A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duas instituiç</w:t>
      </w:r>
      <w:r w:rsidR="00DA6E44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õ</w:t>
      </w:r>
      <w:r w:rsidR="001C08A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es</w:t>
      </w:r>
      <w:r w:rsidR="000A504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 </w:t>
      </w:r>
      <w:r w:rsidR="00A91E9E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ir</w:t>
      </w:r>
      <w:r w:rsidR="000A504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ia</w:t>
      </w:r>
      <w:r w:rsidR="00A91E9E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verificar a situação;</w:t>
      </w:r>
      <w:r w:rsidR="00D82037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delegada Érika </w:t>
      </w:r>
      <w:r w:rsidR="000A504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informou que na PF o Acordo já foi analisado pelo </w:t>
      </w:r>
      <w:r w:rsidR="004C04A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setor de controle interno</w:t>
      </w:r>
      <w:r w:rsidR="000A504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 encaminhado para emissão de parecer </w:t>
      </w:r>
      <w:r w:rsidR="004C04A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sobre</w:t>
      </w:r>
      <w:r w:rsidR="000A504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a</w:t>
      </w:r>
      <w:r w:rsidR="004C04A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oportunidade e </w:t>
      </w:r>
      <w:r w:rsidR="000A504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 </w:t>
      </w:r>
      <w:r w:rsidR="004C04A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conveniência e </w:t>
      </w:r>
      <w:r w:rsidR="008D047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posterior </w:t>
      </w:r>
      <w:r w:rsidR="004C04A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assinatura</w:t>
      </w:r>
      <w:r w:rsidR="0053411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pelo Superintendente.</w:t>
      </w:r>
    </w:p>
    <w:p w14:paraId="73663A82" w14:textId="746916C0" w:rsidR="0033537B" w:rsidRDefault="0033537B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EA0B9B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Luiz Gustavo </w:t>
      </w:r>
      <w:r w:rsidR="00112C77" w:rsidRPr="00EA0B9B">
        <w:rPr>
          <w:rFonts w:ascii="Times New Roman" w:eastAsia="Times New Roman" w:hAnsi="Times New Roman" w:cs="Times New Roman"/>
          <w:sz w:val="28"/>
          <w:szCs w:val="28"/>
          <w:lang w:eastAsia="pt-BR"/>
        </w:rPr>
        <w:t>passou para o s</w:t>
      </w:r>
      <w:r w:rsidRPr="00EA0B9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egundo item da pauta</w:t>
      </w:r>
      <w:r w:rsidR="00112C77" w:rsidRPr="00EA0B9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</w:t>
      </w:r>
      <w:r w:rsidR="004F4D95" w:rsidRPr="00EA0B9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Força Tarefa Cidadã</w:t>
      </w:r>
      <w:r w:rsidR="006223D0" w:rsidRPr="00EA0B9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. </w:t>
      </w:r>
      <w:r w:rsidR="00F62B8A" w:rsidRPr="00EA0B9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Esclareceu que </w:t>
      </w:r>
      <w:r w:rsidR="00EA0B9B" w:rsidRPr="00EA0B9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o</w:t>
      </w:r>
      <w:r w:rsidR="00FB6F42" w:rsidRPr="00EA0B9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OSB, p</w:t>
      </w:r>
      <w:r w:rsidR="006223D0" w:rsidRPr="00EA0B9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or conta da pandemia COVID</w:t>
      </w:r>
      <w:r w:rsidR="00E45F0F" w:rsidRPr="00EA0B9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-</w:t>
      </w:r>
      <w:r w:rsidR="006223D0" w:rsidRPr="00EA0B9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19</w:t>
      </w:r>
      <w:r w:rsidR="00DB7340" w:rsidRPr="00EA0B9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 pela falta de pessoal nos órgãos municipais e o aumento de despesas executa</w:t>
      </w:r>
      <w:r w:rsidR="000E4A2C" w:rsidRPr="00EA0B9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da</w:t>
      </w:r>
      <w:r w:rsidR="00DB7340" w:rsidRPr="00EA0B9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s </w:t>
      </w:r>
      <w:r w:rsidR="000E4A2C" w:rsidRPr="00EA0B9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no combate à pandemia</w:t>
      </w:r>
      <w:r w:rsidR="00DB7340" w:rsidRPr="00EA0B9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</w:t>
      </w:r>
      <w:r w:rsidR="000E4A2C" w:rsidRPr="00EA0B9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7A7474" w:rsidRPr="00EA0B9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tem apresentado para</w:t>
      </w:r>
      <w:r w:rsidR="00112C77" w:rsidRPr="00EA0B9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a Rede de Controle casos </w:t>
      </w:r>
      <w:r w:rsidR="007A7474" w:rsidRPr="00EA0B9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com</w:t>
      </w:r>
      <w:r w:rsidR="00112C77" w:rsidRPr="00EA0B9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indícios</w:t>
      </w:r>
      <w:r w:rsidR="003A549A" w:rsidRPr="00EA0B9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de irregularidades</w:t>
      </w:r>
      <w:r w:rsidR="007D6BBE" w:rsidRPr="00EA0B9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selecionados pela materialidade, </w:t>
      </w:r>
      <w:r w:rsidR="000E4A2C" w:rsidRPr="00EA0B9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para análise dos órgãos que integram a Rede</w:t>
      </w:r>
      <w:r w:rsidR="00EA0B9B" w:rsidRPr="00EA0B9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 num esforço conjunto</w:t>
      </w:r>
      <w:r w:rsidR="00FE139E" w:rsidRPr="00EA0B9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 A</w:t>
      </w:r>
      <w:r w:rsidR="004F4D95" w:rsidRPr="00EA0B9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gradeceu </w:t>
      </w:r>
      <w:r w:rsidR="004F4D95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publicamente </w:t>
      </w:r>
      <w:r w:rsidR="004F4D95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lastRenderedPageBreak/>
        <w:t>ao</w:t>
      </w:r>
      <w:r w:rsidR="00112C77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AB65D3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Rafael do </w:t>
      </w:r>
      <w:r w:rsidR="00112C77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TCE e </w:t>
      </w:r>
      <w:r w:rsidR="00AB65D3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ao Leonardo do </w:t>
      </w:r>
      <w:r w:rsidR="00112C77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M</w:t>
      </w:r>
      <w:r w:rsidR="004F4D95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PPR que </w:t>
      </w:r>
      <w:r w:rsidR="00A44EF1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têm participado ativamente </w:t>
      </w:r>
      <w:r w:rsidR="004F4D95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nesse sentido. </w:t>
      </w:r>
    </w:p>
    <w:p w14:paraId="18A1810B" w14:textId="67CA8E48" w:rsidR="002C75D4" w:rsidRDefault="003A549A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Ney Ribas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agradeceu e </w:t>
      </w:r>
      <w:r w:rsidR="00F6356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disse que na proposta inicial da Força Tarefa o objetivo era </w:t>
      </w:r>
      <w:r w:rsidR="00C45A33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avaliar</w:t>
      </w:r>
      <w:r w:rsidR="0030165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61215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os Portais de Transparência</w:t>
      </w:r>
      <w:r w:rsidR="00B02B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dos municípios</w:t>
      </w:r>
      <w:r w:rsidR="00AA2AE4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trabalho que já é realizado pelo </w:t>
      </w:r>
      <w:r w:rsidR="00252BF7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TCE, MPPR</w:t>
      </w:r>
      <w:r w:rsidR="00B02B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</w:t>
      </w:r>
      <w:r w:rsidR="00252BF7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a Transparência Internacional</w:t>
      </w:r>
      <w:r w:rsidR="00B02B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  <w:r w:rsidR="00AA2AE4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</w:p>
    <w:p w14:paraId="14C743B1" w14:textId="704FEF2E" w:rsidR="00CE3134" w:rsidRDefault="00CE3134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 Força Tarefa está se expandindo para outros Estados, </w:t>
      </w:r>
      <w:r w:rsidR="00AB44C3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RS,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SC, PR, </w:t>
      </w:r>
      <w:r w:rsidR="00AB44C3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BA, PI,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RJ</w:t>
      </w:r>
      <w:r w:rsidR="009E0D55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 SP, MG</w:t>
      </w:r>
      <w:r w:rsidR="0001064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. </w:t>
      </w:r>
    </w:p>
    <w:p w14:paraId="202B5431" w14:textId="340DC65A" w:rsidR="003A549A" w:rsidRDefault="00010642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</w:t>
      </w:r>
      <w:r w:rsidR="003A549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recisa ser definida uma estratégia para atuação, </w:t>
      </w:r>
      <w:r w:rsidR="00F50A61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mais de 90% dos municípios não cumprem a lei que define a </w:t>
      </w:r>
      <w:r w:rsidR="003A549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disponibilização de processos e respectivos documentos</w:t>
      </w:r>
      <w:r w:rsidR="0061215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para conferência das despesas</w:t>
      </w:r>
      <w:r w:rsidR="003A549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 que no monitoramento das despesas com a pandemia COVID-19 a dificuldade é ter acesso aos documentos</w:t>
      </w:r>
      <w:r w:rsidR="0061215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como</w:t>
      </w:r>
      <w:r w:rsidR="003A549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ao termo de referência</w:t>
      </w:r>
      <w:r w:rsidR="00BE475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 orçamentos, parecer jurídico</w:t>
      </w:r>
      <w:r w:rsidR="003A549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 notas fiscais, para uma análise mais profunda do nível de transparência.</w:t>
      </w:r>
      <w:r w:rsidR="00FE5734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</w:p>
    <w:p w14:paraId="6A2AE0D7" w14:textId="038098F2" w:rsidR="0061215B" w:rsidRDefault="002C646E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 Rede de Controle de SC vai notificar novamente as prefeituras informando que foi feita avaliação dos Portais e não estão sendo cumpridos os requisitos da Lei.</w:t>
      </w:r>
    </w:p>
    <w:p w14:paraId="77782F63" w14:textId="02BD9811" w:rsidR="00AA7920" w:rsidRDefault="00AA7920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Gostaria de sugerir um alinhamento aqui no Paraná para que fosse feito isso nos municípios do nosso Estado.</w:t>
      </w:r>
    </w:p>
    <w:p w14:paraId="1B6F1570" w14:textId="475A689E" w:rsidR="0061215B" w:rsidRDefault="0061215B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Lui</w:t>
      </w:r>
      <w:r w:rsidR="00C765A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z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Gustavo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informou que o tema Transparência será abordado no tópico seguinte, </w:t>
      </w:r>
      <w:r w:rsidR="007601E5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no tópico das Boas Práticas das outras Redes,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que a ideia é agendar uma reunião específica sobre Transparência com MPPR, TCE e MPC para analisar o trabalho de cada um, alinhar</w:t>
      </w:r>
      <w:r w:rsidR="00123E9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uma estratégia de trabalho para 5 anos com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diretrizes e tratar de forma conjunta o assunto.</w:t>
      </w:r>
    </w:p>
    <w:p w14:paraId="29C0E8CC" w14:textId="5B44AB44" w:rsidR="0061215B" w:rsidRPr="0061215B" w:rsidRDefault="00C765AE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Luiz Gustavo </w:t>
      </w:r>
      <w:r w:rsidRPr="00C765AE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eu as boas-vindas ao Sr Bruno Galatti, questionou se havia alguma informação a respeito da assinatura do ACT pelo </w:t>
      </w:r>
      <w:r w:rsidR="00EF1851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r Giacoia, Dr Galatti </w:t>
      </w:r>
      <w:r w:rsidR="00785CB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informou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que o MPPR não assinou ainda, que o processo precisa ser em forma de papel para assinatura do Procurado</w:t>
      </w:r>
      <w:r w:rsidR="00785CB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Geral.</w:t>
      </w:r>
    </w:p>
    <w:p w14:paraId="07079D49" w14:textId="503FFE96" w:rsidR="009A7B27" w:rsidRDefault="00D133FB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D133F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Luiz Gustavo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</w:t>
      </w:r>
      <w:r w:rsidR="009A7B27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ass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ou então </w:t>
      </w:r>
      <w:r w:rsidR="009A7B27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para o terceiro tópico,</w:t>
      </w:r>
      <w:r w:rsidR="002D0953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Boas Práticas das outras Redes de Controle, </w:t>
      </w:r>
      <w:r w:rsidR="00505BA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dizendo que a Rede de Controle do Estado do Rio de Janeiro trabalha fazendo uma interligação entre todas as </w:t>
      </w:r>
      <w:r w:rsidR="009A7B27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Redes</w:t>
      </w:r>
      <w:r w:rsidR="00505BA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 que divulgam notícias e informações em grupo de Whatsapp para os outros Estados</w:t>
      </w:r>
      <w:r w:rsidR="0034489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. </w:t>
      </w:r>
    </w:p>
    <w:p w14:paraId="23271DB0" w14:textId="5A65EC09" w:rsidR="00B478E0" w:rsidRDefault="0012462F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Iniciou apresentando </w:t>
      </w:r>
      <w:r w:rsidR="00B478E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uma orientação da Rede de Controle do Maranhão sobre a obrigatoriedade do Pregão Eletrônico, nos mesmos moldes da NT </w:t>
      </w:r>
      <w:r w:rsidR="00B478E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lastRenderedPageBreak/>
        <w:t>sobre Transparência.</w:t>
      </w:r>
      <w:r w:rsidR="003D2B0D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É uma campanha, apresenta o Decreto e pode ser feito aqui no Paraná também.</w:t>
      </w:r>
    </w:p>
    <w:p w14:paraId="0D040728" w14:textId="6F14FF24" w:rsidR="00B478E0" w:rsidRDefault="00B478E0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Questionou ao TCE e MPPT,</w:t>
      </w:r>
      <w:r w:rsidR="0068773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se havia algum trabalho nesses órgãos a respeito do assunto, </w:t>
      </w:r>
      <w:r w:rsidR="0068773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Rafael Ayres TCE </w:t>
      </w:r>
      <w:r w:rsidR="0068773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disse que receberam várias de</w:t>
      </w:r>
      <w:r w:rsidR="00C62DD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mandas</w:t>
      </w:r>
      <w:r w:rsidR="0068773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questionando sobre uso de pregões presenciais, que emitiram </w:t>
      </w:r>
      <w:r w:rsidR="00C62DD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notícias e consultas</w:t>
      </w:r>
      <w:r w:rsidR="0068773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a respeito.</w:t>
      </w:r>
    </w:p>
    <w:p w14:paraId="06BE225F" w14:textId="0C048F2F" w:rsidR="0068773F" w:rsidRDefault="0068773F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68773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Luiz Gustavo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questionou se tem um levantamento a respeito e </w:t>
      </w:r>
      <w:r w:rsidRPr="00BA06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Rafael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respondeu que não, </w:t>
      </w:r>
      <w:r w:rsidR="00D504A3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mas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que acompanham pelo Mural de Licitações.</w:t>
      </w:r>
      <w:r w:rsidR="008B7575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Que as compras de emergência no enfrentamento à pandemia já diminuíram.</w:t>
      </w:r>
    </w:p>
    <w:p w14:paraId="62861FF1" w14:textId="21786EA0" w:rsidR="00CA32D7" w:rsidRDefault="00CA32D7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Bruno Galatti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informou que o MPPR já fez</w:t>
      </w:r>
      <w:r w:rsidR="006D10F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algumas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recomendações sobre o assunto</w:t>
      </w:r>
      <w:r w:rsidR="00573DE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pela área do Patrimônio Público.</w:t>
      </w:r>
    </w:p>
    <w:p w14:paraId="77E4A995" w14:textId="4DABEB03" w:rsidR="006D10FC" w:rsidRDefault="00CA32D7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Ney OSB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acrescentou que em Ponta Grossa foram feitos vários eventos juntamente com </w:t>
      </w:r>
      <w:r w:rsidR="00BA06D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o Ministério Público, com a Escola da Gestão, com TCU e com a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CGU e apresenta</w:t>
      </w:r>
      <w:r w:rsidR="006D10F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atualmente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o maior índice de compras realizadas por Pregão Eletrônico.</w:t>
      </w:r>
      <w:r w:rsidR="00BA06D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Que apesar dos problemas com plataformas, os resultados têm sido satisfatórios, que o p</w:t>
      </w:r>
      <w:r w:rsidR="006D10F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lanejamento de compras e contratações</w:t>
      </w:r>
      <w:r w:rsidR="00BA06D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é muito importante</w:t>
      </w:r>
      <w:r w:rsidR="00EB01AE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</w:p>
    <w:p w14:paraId="409228EB" w14:textId="524935D4" w:rsidR="006D10FC" w:rsidRDefault="000320CF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68773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Luiz Gustavo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frisou que apesar do tema Planejamento de Contratações já ter sido muito trabalhado e vários órgãos já terem avançado, ainda há uma lacuna muito grande para ser trabalhada</w:t>
      </w:r>
      <w:r w:rsidR="003E51FD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 </w:t>
      </w:r>
      <w:r w:rsidR="0071787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sugeriu a</w:t>
      </w:r>
      <w:r w:rsidR="006D10F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valiar se vale a pena atuar sobre o assunto Pregão Eletrônico </w:t>
      </w:r>
      <w:r w:rsidR="0071787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na Rede de Controle, principalmente com </w:t>
      </w:r>
      <w:r w:rsidR="006D10F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TCE e MPPR</w:t>
      </w:r>
      <w:r w:rsidR="003E51FD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ou se ações já feitas são suficientes.</w:t>
      </w:r>
    </w:p>
    <w:p w14:paraId="3C21C756" w14:textId="29A814DE" w:rsidR="006D10FC" w:rsidRDefault="003E51FD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 segunda Boa Prática</w:t>
      </w:r>
      <w:r w:rsidR="00D433E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apresentada é do </w:t>
      </w:r>
      <w:r w:rsidR="006D10F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Mato Grosso do Sul</w:t>
      </w:r>
      <w:r w:rsidR="005902F7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que</w:t>
      </w:r>
      <w:r w:rsidR="006D10F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tem um mapa de transparência das informações sobre gastos com a pandemia COVID-19</w:t>
      </w:r>
      <w:r w:rsidR="00963071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que alguns órgãos fazem esse acompanhamento como </w:t>
      </w:r>
      <w:r w:rsidR="006D10F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MPPR e TCE, MPC também atua</w:t>
      </w:r>
      <w:r w:rsidR="00963071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 que seria interessante unir esforços, que sugeriu ao OSB que aproveitasse esses trabalhos para apresentar aos gestores, que pudessem cobrar dos gestores.</w:t>
      </w:r>
    </w:p>
    <w:p w14:paraId="0116ED34" w14:textId="26E59307" w:rsidR="006D10FC" w:rsidRDefault="001F460D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Luiz Gustavo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sugeriu p</w:t>
      </w:r>
      <w:r w:rsidR="006D10F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rogramar uma reunião para daqui a uns 10 dias para definir estratégia para 5 anos.</w:t>
      </w:r>
    </w:p>
    <w:p w14:paraId="0ED00D88" w14:textId="415AE590" w:rsidR="006D10FC" w:rsidRDefault="006D10FC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BB148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Vitor MPC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disse que é possível sim, só precisa confirmar com Dra Valéria o planejamento dos trabalhos.</w:t>
      </w:r>
    </w:p>
    <w:p w14:paraId="572593B0" w14:textId="08854B56" w:rsidR="006D10FC" w:rsidRDefault="006D10FC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BB148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Dr Bruno Galatti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disse que falta divulgação no Paraná, que temos órgãos fortes</w:t>
      </w:r>
      <w:r w:rsidR="00BB148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que atuam fazendo trabalhos similares e não há divulgação dos resultados, que infelizmente a Rede não possui uma estrutura para fazer esse trabalho de comunicação.</w:t>
      </w:r>
      <w:r w:rsidR="005B3E3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O MPPR está finalizando a segunda avaliação dos </w:t>
      </w:r>
      <w:r w:rsidR="005B3E3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lastRenderedPageBreak/>
        <w:t>Portais dos Municípios conforme orientação da NT da Rede</w:t>
      </w:r>
      <w:r w:rsidR="00676C2D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 que a atuação é diferente do MPC mas que os órgãos poderiam atuar sim de forma conjunta para não confundir os gestores.</w:t>
      </w:r>
    </w:p>
    <w:p w14:paraId="760646C2" w14:textId="63FFF51E" w:rsidR="00D40999" w:rsidRDefault="00D40999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CA5DB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Rafael TCE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CA5DB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disse que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em fevereiro encerra o mandato do Presidente Nestor Batista e não tem como garantir as diretrizes do próximo gestor</w:t>
      </w:r>
      <w:r w:rsidR="00CA5DB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 mas que tem interesse em atuar sim na área da transparência.</w:t>
      </w:r>
    </w:p>
    <w:p w14:paraId="141F5526" w14:textId="6B3B22E6" w:rsidR="00571825" w:rsidRDefault="005A1C59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Informou que está em fase de finalização a </w:t>
      </w:r>
      <w:r w:rsidR="0082676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2ª edição do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Í</w:t>
      </w:r>
      <w:r w:rsidR="0082676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ndice de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T</w:t>
      </w:r>
      <w:r w:rsidR="0082676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ransparência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Pública que iniciou em 2019 com alunos da Universidade Positivo, </w:t>
      </w:r>
      <w:r w:rsidR="00571825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na avaliação </w:t>
      </w:r>
      <w:r w:rsidR="00D4099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22 municípios melhoraram significativamente</w:t>
      </w:r>
      <w:r w:rsidR="00571825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 Que entende ser viável sim uma atuação a longo prazo, que o ACT da Rede proporciona um subsídio muito grande aos trabalhos realizados.</w:t>
      </w:r>
    </w:p>
    <w:p w14:paraId="733F27A5" w14:textId="162241D1" w:rsidR="00D40999" w:rsidRPr="001818FF" w:rsidRDefault="00D40999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A66A8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Luiz Gustavo</w:t>
      </w:r>
      <w:r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vai encaminhar uma sugestão de data para reunião</w:t>
      </w:r>
      <w:r w:rsidR="003B5DF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sobre Transparência.</w:t>
      </w:r>
    </w:p>
    <w:p w14:paraId="3E8A0AE2" w14:textId="3F87D0A6" w:rsidR="00D40999" w:rsidRPr="001818FF" w:rsidRDefault="00D40999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Última boa prática é a realização de um Webnário para os novos prefeitos eleitos</w:t>
      </w:r>
      <w:r w:rsidR="003B5DF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com a confederação dos municípios, em que todos os órgãos teriam um tempo de fala.</w:t>
      </w:r>
    </w:p>
    <w:p w14:paraId="7E24D352" w14:textId="39A7CFE3" w:rsidR="003B5492" w:rsidRDefault="003B5492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D30D1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Cristina CGU</w:t>
      </w:r>
      <w:r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informou que em fevereiro de 2017 a CGU organizou o Encontro Município Transparente, em que todos os prefeitos foram convidados e a pauta era orientação aos </w:t>
      </w:r>
      <w:r w:rsidR="00D30D1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novos gestores</w:t>
      </w:r>
      <w:r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 Vai buscar o material que foi fornecido e a programação do evento para poder passar para Luiz Gustavo ver como foi feito.</w:t>
      </w:r>
    </w:p>
    <w:p w14:paraId="75DF0397" w14:textId="379BDFAB" w:rsidR="000B0B22" w:rsidRPr="000B0B22" w:rsidRDefault="000B0B22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A66A8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Luiz Gustavo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sugeriu como data 09 de dezembro</w:t>
      </w:r>
      <w:r w:rsidR="00C00FC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em que os órgãos comemorando o Dia Internacional contra a Corrupção, e que já teria todos os prefeitos eleitos.</w:t>
      </w:r>
    </w:p>
    <w:p w14:paraId="0E38E94E" w14:textId="17F2CD81" w:rsidR="00D40999" w:rsidRPr="001818FF" w:rsidRDefault="00D40999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D30D1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Rafael TCE</w:t>
      </w:r>
      <w:r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EA211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disse que concorda sim, que foi feita uma </w:t>
      </w:r>
      <w:r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live </w:t>
      </w:r>
      <w:r w:rsidR="00EA211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pelo TCE com foco em </w:t>
      </w:r>
      <w:r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encerramento dos mandatos</w:t>
      </w:r>
      <w:r w:rsidR="00E23EE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 O tema é bom, o TCE já tem tradição em eventos do tipo e</w:t>
      </w:r>
      <w:r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E23EE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inclusive estão atualizando</w:t>
      </w:r>
      <w:r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um manual de início de mandato</w:t>
      </w:r>
      <w:r w:rsidR="00E23EE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que pode ser lançado no evento.</w:t>
      </w:r>
    </w:p>
    <w:p w14:paraId="78199826" w14:textId="69C5F2B4" w:rsidR="00D40999" w:rsidRPr="001818FF" w:rsidRDefault="00D40999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D2082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Bruno Galatti MPPR</w:t>
      </w:r>
      <w:r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D2082E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se manifestou que </w:t>
      </w:r>
      <w:r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planejamento do novo administrador que geralmente quer mudar todos os procedimentos</w:t>
      </w:r>
      <w:r w:rsidR="00D2082E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 o</w:t>
      </w:r>
      <w:r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evento deve ser direcionado para equipe de transição.</w:t>
      </w:r>
    </w:p>
    <w:p w14:paraId="54C95895" w14:textId="430D1F94" w:rsidR="00D40999" w:rsidRPr="007F5BF1" w:rsidRDefault="00D40999" w:rsidP="00B00BC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FC169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Rafael TCE</w:t>
      </w:r>
      <w:r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FC169D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acrescentou que </w:t>
      </w:r>
      <w:r w:rsidR="007F5BF1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seria para </w:t>
      </w:r>
      <w:r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apresentar os órgãos</w:t>
      </w:r>
      <w:r w:rsidR="00FC169D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para os prefeitos, com o papel de cada órgão, </w:t>
      </w:r>
      <w:r w:rsidR="007F5BF1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onde buscar informações.</w:t>
      </w:r>
    </w:p>
    <w:p w14:paraId="68CBBC71" w14:textId="6710F2E7" w:rsidR="00D40999" w:rsidRPr="001818FF" w:rsidRDefault="007F5BF1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7F5BF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Luiz Gustavo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frisou que o objetivo seria dar </w:t>
      </w:r>
      <w:r w:rsidR="00D40999"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dicas </w:t>
      </w:r>
      <w:r w:rsidR="00CD1D9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e orientações </w:t>
      </w:r>
      <w:r w:rsidR="00D40999"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para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os novos </w:t>
      </w:r>
      <w:r w:rsidR="00D40999"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gestor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es</w:t>
      </w:r>
      <w:r w:rsidR="00D40999"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</w:p>
    <w:p w14:paraId="7F9D6287" w14:textId="4F629B51" w:rsidR="00D40999" w:rsidRPr="001818FF" w:rsidRDefault="00D40999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7F5BF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lastRenderedPageBreak/>
        <w:t>Ney OSB</w:t>
      </w:r>
      <w:r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parabenizou a iniciativa e disse que é necessário reforçar a valorização dos profissionais que atua</w:t>
      </w:r>
      <w:r w:rsidR="007F5BF1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m na gestão das prefeituras, independente dos prefeitos. Disse que seria interessante ter f</w:t>
      </w:r>
      <w:r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ocos específicos para conselheiros, servidores que atuam na área de compras e com foco em transparência.</w:t>
      </w:r>
    </w:p>
    <w:p w14:paraId="45537678" w14:textId="7F2FBA53" w:rsidR="00D40999" w:rsidRPr="001818FF" w:rsidRDefault="00CD1D9C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7F5BF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Luiz Gustavo</w:t>
      </w:r>
      <w:r w:rsidR="00E2165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E2165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passou então para o último item, que é </w:t>
      </w:r>
      <w:r w:rsidR="00D40999"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o Portal Instituto Rui Barbosa</w:t>
      </w:r>
      <w:r w:rsidR="004D22A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feito em resposta a uma demanda do </w:t>
      </w:r>
      <w:r w:rsidR="00D40999"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OSB em 2019 </w:t>
      </w:r>
      <w:r w:rsidR="004D22A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que </w:t>
      </w:r>
      <w:r w:rsidR="00D40999"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apresentou proposta para ENCCLA para organizar as capacitações em um portal só</w:t>
      </w:r>
      <w:r w:rsidR="00A762A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</w:p>
    <w:p w14:paraId="55B26442" w14:textId="47F2236F" w:rsidR="00D40999" w:rsidRPr="001818FF" w:rsidRDefault="00D40999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Lançamento oficial </w:t>
      </w:r>
      <w:r w:rsidR="00A762A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do Portal </w:t>
      </w:r>
      <w:r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será no dia 09/12, não são novos cursos, apenas foi criado um portal concentrando todas as informações dos sites que disponibilizam os cursos.</w:t>
      </w:r>
      <w:r w:rsidR="00A762A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Apenas cursos virtuais e gratuitos.</w:t>
      </w:r>
    </w:p>
    <w:p w14:paraId="3D53C257" w14:textId="5701C874" w:rsidR="00D40999" w:rsidRPr="001818FF" w:rsidRDefault="00030932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Apresentou também a </w:t>
      </w:r>
      <w:r w:rsidR="00D40999"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cartilha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da Rede de Controle elaborada pela </w:t>
      </w:r>
      <w:r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SECOM do TCU em Brasília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após demanda do OSB </w:t>
      </w:r>
      <w:r w:rsidR="00D40999"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com atribuições dos órgãos</w:t>
      </w:r>
      <w:r w:rsidR="00CA23C7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o </w:t>
      </w:r>
      <w:r w:rsidR="006A620C"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caminho para</w:t>
      </w:r>
      <w:r w:rsidR="00CA23C7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as</w:t>
      </w:r>
      <w:r w:rsidR="006A620C"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ouvidorias</w:t>
      </w:r>
      <w:r w:rsidR="00CA23C7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</w:p>
    <w:p w14:paraId="1BD8F5C2" w14:textId="4326FD5A" w:rsidR="006A620C" w:rsidRPr="001818FF" w:rsidRDefault="003C0A07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3C0A0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Luiz Gustavo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passou então para o último item da pauta da reuniã</w:t>
      </w:r>
      <w:r w:rsidR="00E972C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o, </w:t>
      </w:r>
      <w:r w:rsidR="006A620C"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eleição da nova diretoria que será realizada na próxima reunião da Rede de Controle.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O mandato vence </w:t>
      </w:r>
      <w:r w:rsidR="00643791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em 28/11.</w:t>
      </w:r>
    </w:p>
    <w:p w14:paraId="629D3D7D" w14:textId="24655242" w:rsidR="006A620C" w:rsidRPr="001818FF" w:rsidRDefault="00E972C8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I</w:t>
      </w:r>
      <w:r w:rsidR="006A620C"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nformou que não possui uma estrutura adequada para dar continuidade aos trabalhos de forma adequada como coordenador da Rede, que gostaria de fazer reuniões específicas com os </w:t>
      </w:r>
      <w:r w:rsidR="00215FE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Ó</w:t>
      </w:r>
      <w:r w:rsidR="006A620C"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rgãos</w:t>
      </w:r>
      <w:r w:rsidR="00215FE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no entanto, </w:t>
      </w:r>
      <w:r w:rsidR="006A620C"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não consegue dar andamento aos projetos</w:t>
      </w:r>
      <w:r w:rsidR="00215FE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. Dito isso, abriu a palavra para que os membros presentes pudessem indicar candidatos para o novo mandato e salientou que outros órgãos e dirigentes poderiam </w:t>
      </w:r>
      <w:r w:rsidR="006A620C"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contribuir com esse trabalho, como </w:t>
      </w:r>
      <w:r w:rsidR="008103E3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o</w:t>
      </w:r>
      <w:r w:rsidR="006A620C"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MPPR.</w:t>
      </w:r>
    </w:p>
    <w:p w14:paraId="6BDD750B" w14:textId="11D40D1D" w:rsidR="006A620C" w:rsidRDefault="006A620C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8103E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Bruno Galatti MPPR</w:t>
      </w:r>
      <w:r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disse que irá conversar com Dr Kalache para analisar se há possibilidade</w:t>
      </w:r>
      <w:r w:rsidR="00E7481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 interesse em se candidatar</w:t>
      </w:r>
      <w:r w:rsidR="006857C4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 que visualiza que o trabalho da Rede de Controle é o futuro, por envolver vários órgãos e alinhar as diretrizes.</w:t>
      </w:r>
    </w:p>
    <w:p w14:paraId="0F07C743" w14:textId="57DEDBF3" w:rsidR="00D923C7" w:rsidRPr="001818FF" w:rsidRDefault="00D923C7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Francisco RFB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disse que a parte da Educação Cidadã pode auxiliar na parte de capacitação.</w:t>
      </w:r>
    </w:p>
    <w:p w14:paraId="7F61902B" w14:textId="3521B32B" w:rsidR="006A620C" w:rsidRPr="001818FF" w:rsidRDefault="005678B4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67621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Rafael TCE</w:t>
      </w:r>
      <w:r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disse que o IRB</w:t>
      </w:r>
      <w:r w:rsidR="00411EA4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é a Escola do Conhecimento dos Tribunais de Contas do Brasil, é uma entidade privada mas que está atualmente instalada dentro do TCE/PR.</w:t>
      </w:r>
      <w:r w:rsidR="00A86D2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Que poderiam ser convidados para participar da Rede para contribuir na área de capacitação.</w:t>
      </w:r>
    </w:p>
    <w:p w14:paraId="4873D85A" w14:textId="453B48A5" w:rsidR="005678B4" w:rsidRDefault="005678B4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67621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Luiz Gustavo</w:t>
      </w:r>
      <w:r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pediu para Cristina CGU verificar possibilidade de incluir</w:t>
      </w:r>
      <w:r w:rsidR="0092423D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o IRB</w:t>
      </w:r>
      <w:r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no ACT da Rede.</w:t>
      </w:r>
    </w:p>
    <w:p w14:paraId="1359501F" w14:textId="2228B870" w:rsidR="005678B4" w:rsidRPr="001818FF" w:rsidRDefault="005678B4" w:rsidP="00B00BC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lastRenderedPageBreak/>
        <w:t>Encerrou a pauta e abriu a palavra para os demais participantes</w:t>
      </w:r>
      <w:r w:rsidR="0085506F"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. Como não houve manifestações, encerrou </w:t>
      </w:r>
      <w:r w:rsidR="003B5492" w:rsidRP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 reunião agradecendo a participação de todos</w:t>
      </w:r>
      <w:r w:rsid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 finalizou às 16h</w:t>
      </w:r>
      <w:r w:rsidR="00B26AA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1</w:t>
      </w:r>
      <w:r w:rsidR="001818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5.</w:t>
      </w:r>
    </w:p>
    <w:p w14:paraId="2C01595E" w14:textId="77777777" w:rsidR="00D40999" w:rsidRDefault="00D40999" w:rsidP="000738EB"/>
    <w:sectPr w:rsidR="00D409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81501" w14:textId="77777777" w:rsidR="00BC062B" w:rsidRDefault="00BC062B" w:rsidP="00F62B8A">
      <w:pPr>
        <w:spacing w:after="0" w:line="240" w:lineRule="auto"/>
      </w:pPr>
      <w:r>
        <w:separator/>
      </w:r>
    </w:p>
  </w:endnote>
  <w:endnote w:type="continuationSeparator" w:id="0">
    <w:p w14:paraId="43FCB832" w14:textId="77777777" w:rsidR="00BC062B" w:rsidRDefault="00BC062B" w:rsidP="00F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201AD" w14:textId="77777777" w:rsidR="00BC062B" w:rsidRDefault="00BC062B" w:rsidP="00F62B8A">
      <w:pPr>
        <w:spacing w:after="0" w:line="240" w:lineRule="auto"/>
      </w:pPr>
      <w:r>
        <w:separator/>
      </w:r>
    </w:p>
  </w:footnote>
  <w:footnote w:type="continuationSeparator" w:id="0">
    <w:p w14:paraId="173EFB59" w14:textId="77777777" w:rsidR="00BC062B" w:rsidRDefault="00BC062B" w:rsidP="00F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15430"/>
    <w:multiLevelType w:val="hybridMultilevel"/>
    <w:tmpl w:val="0BE6EC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31346"/>
    <w:multiLevelType w:val="hybridMultilevel"/>
    <w:tmpl w:val="FE00F2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18"/>
    <w:rsid w:val="000021C5"/>
    <w:rsid w:val="00010642"/>
    <w:rsid w:val="00030932"/>
    <w:rsid w:val="000320CF"/>
    <w:rsid w:val="00065766"/>
    <w:rsid w:val="000738EB"/>
    <w:rsid w:val="00081A06"/>
    <w:rsid w:val="000A5049"/>
    <w:rsid w:val="000B0B22"/>
    <w:rsid w:val="000C08EC"/>
    <w:rsid w:val="000C72E4"/>
    <w:rsid w:val="000D37DB"/>
    <w:rsid w:val="000E0D66"/>
    <w:rsid w:val="000E4A2C"/>
    <w:rsid w:val="001113B1"/>
    <w:rsid w:val="00112C77"/>
    <w:rsid w:val="00116FD4"/>
    <w:rsid w:val="00123E92"/>
    <w:rsid w:val="0012462F"/>
    <w:rsid w:val="00146A8A"/>
    <w:rsid w:val="001818FF"/>
    <w:rsid w:val="00191C1A"/>
    <w:rsid w:val="0019218C"/>
    <w:rsid w:val="00195AB3"/>
    <w:rsid w:val="001C08A9"/>
    <w:rsid w:val="001D1A04"/>
    <w:rsid w:val="001F460D"/>
    <w:rsid w:val="00202B92"/>
    <w:rsid w:val="00202D86"/>
    <w:rsid w:val="0020316C"/>
    <w:rsid w:val="00215FE8"/>
    <w:rsid w:val="00216681"/>
    <w:rsid w:val="00245031"/>
    <w:rsid w:val="00252BF7"/>
    <w:rsid w:val="002646D2"/>
    <w:rsid w:val="00281B9E"/>
    <w:rsid w:val="002860FA"/>
    <w:rsid w:val="002B5461"/>
    <w:rsid w:val="002C0614"/>
    <w:rsid w:val="002C646E"/>
    <w:rsid w:val="002C75D4"/>
    <w:rsid w:val="002D0953"/>
    <w:rsid w:val="002F5302"/>
    <w:rsid w:val="00300D59"/>
    <w:rsid w:val="00301658"/>
    <w:rsid w:val="00325DEF"/>
    <w:rsid w:val="0033537B"/>
    <w:rsid w:val="00340C38"/>
    <w:rsid w:val="00344892"/>
    <w:rsid w:val="00346D6F"/>
    <w:rsid w:val="003601D1"/>
    <w:rsid w:val="00373C2A"/>
    <w:rsid w:val="003978D9"/>
    <w:rsid w:val="003A549A"/>
    <w:rsid w:val="003B45B6"/>
    <w:rsid w:val="003B5492"/>
    <w:rsid w:val="003B5DFB"/>
    <w:rsid w:val="003C0A07"/>
    <w:rsid w:val="003C2EBB"/>
    <w:rsid w:val="003D2B0D"/>
    <w:rsid w:val="003E51FD"/>
    <w:rsid w:val="003F0D1F"/>
    <w:rsid w:val="00405113"/>
    <w:rsid w:val="00410F3B"/>
    <w:rsid w:val="004116FF"/>
    <w:rsid w:val="00411EA4"/>
    <w:rsid w:val="00414AC6"/>
    <w:rsid w:val="00415717"/>
    <w:rsid w:val="00436038"/>
    <w:rsid w:val="004708BE"/>
    <w:rsid w:val="00483D6F"/>
    <w:rsid w:val="0048601E"/>
    <w:rsid w:val="00493DE8"/>
    <w:rsid w:val="004A4A37"/>
    <w:rsid w:val="004C04AF"/>
    <w:rsid w:val="004D22AF"/>
    <w:rsid w:val="004F4D95"/>
    <w:rsid w:val="00505BA9"/>
    <w:rsid w:val="00507E12"/>
    <w:rsid w:val="0051483C"/>
    <w:rsid w:val="00531F2B"/>
    <w:rsid w:val="0053411C"/>
    <w:rsid w:val="005678B4"/>
    <w:rsid w:val="00571825"/>
    <w:rsid w:val="005720DF"/>
    <w:rsid w:val="00573DE8"/>
    <w:rsid w:val="005902F7"/>
    <w:rsid w:val="005914B6"/>
    <w:rsid w:val="005A1C59"/>
    <w:rsid w:val="005A4ED2"/>
    <w:rsid w:val="005B233A"/>
    <w:rsid w:val="005B3E39"/>
    <w:rsid w:val="005D63D4"/>
    <w:rsid w:val="00610A04"/>
    <w:rsid w:val="0061215B"/>
    <w:rsid w:val="006223D0"/>
    <w:rsid w:val="00624CBF"/>
    <w:rsid w:val="00643791"/>
    <w:rsid w:val="00665683"/>
    <w:rsid w:val="0067048B"/>
    <w:rsid w:val="0067354B"/>
    <w:rsid w:val="00676217"/>
    <w:rsid w:val="00676C2D"/>
    <w:rsid w:val="006857C4"/>
    <w:rsid w:val="0068773F"/>
    <w:rsid w:val="006A620C"/>
    <w:rsid w:val="006C51FD"/>
    <w:rsid w:val="006D10FC"/>
    <w:rsid w:val="007070D0"/>
    <w:rsid w:val="0071787A"/>
    <w:rsid w:val="0072623A"/>
    <w:rsid w:val="00753E9B"/>
    <w:rsid w:val="007601E5"/>
    <w:rsid w:val="0076364C"/>
    <w:rsid w:val="00773A3A"/>
    <w:rsid w:val="00785CB9"/>
    <w:rsid w:val="007A7474"/>
    <w:rsid w:val="007D01E0"/>
    <w:rsid w:val="007D5A3D"/>
    <w:rsid w:val="007D6BBE"/>
    <w:rsid w:val="007E4ADF"/>
    <w:rsid w:val="007F5BF1"/>
    <w:rsid w:val="00801F2D"/>
    <w:rsid w:val="0080442C"/>
    <w:rsid w:val="00804C8C"/>
    <w:rsid w:val="008103E3"/>
    <w:rsid w:val="00821CFA"/>
    <w:rsid w:val="00822FDB"/>
    <w:rsid w:val="0082366F"/>
    <w:rsid w:val="00824EEA"/>
    <w:rsid w:val="00826769"/>
    <w:rsid w:val="008317C7"/>
    <w:rsid w:val="00847776"/>
    <w:rsid w:val="00847E47"/>
    <w:rsid w:val="0085506F"/>
    <w:rsid w:val="008846A6"/>
    <w:rsid w:val="008B2DC1"/>
    <w:rsid w:val="008B7575"/>
    <w:rsid w:val="008D0479"/>
    <w:rsid w:val="008D0E0F"/>
    <w:rsid w:val="008E0E5C"/>
    <w:rsid w:val="00914707"/>
    <w:rsid w:val="009177B9"/>
    <w:rsid w:val="0092423D"/>
    <w:rsid w:val="00931D6D"/>
    <w:rsid w:val="009353A9"/>
    <w:rsid w:val="009447D1"/>
    <w:rsid w:val="0094598C"/>
    <w:rsid w:val="009529E6"/>
    <w:rsid w:val="009569F4"/>
    <w:rsid w:val="00960BF7"/>
    <w:rsid w:val="00962751"/>
    <w:rsid w:val="00963071"/>
    <w:rsid w:val="009809CE"/>
    <w:rsid w:val="00984DA7"/>
    <w:rsid w:val="009910B1"/>
    <w:rsid w:val="009A7B27"/>
    <w:rsid w:val="009E0D55"/>
    <w:rsid w:val="009F150E"/>
    <w:rsid w:val="009F74EA"/>
    <w:rsid w:val="00A03A91"/>
    <w:rsid w:val="00A44EF1"/>
    <w:rsid w:val="00A44F79"/>
    <w:rsid w:val="00A45FC5"/>
    <w:rsid w:val="00A55CD4"/>
    <w:rsid w:val="00A66A87"/>
    <w:rsid w:val="00A762A6"/>
    <w:rsid w:val="00A826AB"/>
    <w:rsid w:val="00A82719"/>
    <w:rsid w:val="00A86D22"/>
    <w:rsid w:val="00A91E9E"/>
    <w:rsid w:val="00A9228B"/>
    <w:rsid w:val="00A94B11"/>
    <w:rsid w:val="00A96EBE"/>
    <w:rsid w:val="00AA2AE4"/>
    <w:rsid w:val="00AA7920"/>
    <w:rsid w:val="00AB44C3"/>
    <w:rsid w:val="00AB65D3"/>
    <w:rsid w:val="00AD4806"/>
    <w:rsid w:val="00AF79F2"/>
    <w:rsid w:val="00B00BC0"/>
    <w:rsid w:val="00B01699"/>
    <w:rsid w:val="00B02B18"/>
    <w:rsid w:val="00B0487A"/>
    <w:rsid w:val="00B12955"/>
    <w:rsid w:val="00B26AAC"/>
    <w:rsid w:val="00B46E8C"/>
    <w:rsid w:val="00B478E0"/>
    <w:rsid w:val="00B51BDB"/>
    <w:rsid w:val="00B54071"/>
    <w:rsid w:val="00B55354"/>
    <w:rsid w:val="00B74225"/>
    <w:rsid w:val="00B82764"/>
    <w:rsid w:val="00B9760A"/>
    <w:rsid w:val="00BA06D0"/>
    <w:rsid w:val="00BA2BFF"/>
    <w:rsid w:val="00BB05E2"/>
    <w:rsid w:val="00BB148C"/>
    <w:rsid w:val="00BC062B"/>
    <w:rsid w:val="00BD7F13"/>
    <w:rsid w:val="00BD7F18"/>
    <w:rsid w:val="00BE475C"/>
    <w:rsid w:val="00BF7E9F"/>
    <w:rsid w:val="00C00859"/>
    <w:rsid w:val="00C00FC8"/>
    <w:rsid w:val="00C16730"/>
    <w:rsid w:val="00C45A33"/>
    <w:rsid w:val="00C62DDB"/>
    <w:rsid w:val="00C62F00"/>
    <w:rsid w:val="00C71A01"/>
    <w:rsid w:val="00C7228F"/>
    <w:rsid w:val="00C757C7"/>
    <w:rsid w:val="00C765AE"/>
    <w:rsid w:val="00CA23C7"/>
    <w:rsid w:val="00CA32D7"/>
    <w:rsid w:val="00CA5DBA"/>
    <w:rsid w:val="00CB52BA"/>
    <w:rsid w:val="00CC1F28"/>
    <w:rsid w:val="00CD1D9C"/>
    <w:rsid w:val="00CE3134"/>
    <w:rsid w:val="00CE3526"/>
    <w:rsid w:val="00CF57AD"/>
    <w:rsid w:val="00D04098"/>
    <w:rsid w:val="00D133FB"/>
    <w:rsid w:val="00D2082E"/>
    <w:rsid w:val="00D23C5B"/>
    <w:rsid w:val="00D30D16"/>
    <w:rsid w:val="00D3231E"/>
    <w:rsid w:val="00D341EA"/>
    <w:rsid w:val="00D40999"/>
    <w:rsid w:val="00D433EC"/>
    <w:rsid w:val="00D504A3"/>
    <w:rsid w:val="00D5199B"/>
    <w:rsid w:val="00D6455E"/>
    <w:rsid w:val="00D64977"/>
    <w:rsid w:val="00D76FD6"/>
    <w:rsid w:val="00D82037"/>
    <w:rsid w:val="00D923C7"/>
    <w:rsid w:val="00D9292B"/>
    <w:rsid w:val="00D930DF"/>
    <w:rsid w:val="00DA38A2"/>
    <w:rsid w:val="00DA6556"/>
    <w:rsid w:val="00DA6E44"/>
    <w:rsid w:val="00DB7340"/>
    <w:rsid w:val="00DD4AE5"/>
    <w:rsid w:val="00DF47DC"/>
    <w:rsid w:val="00E118B3"/>
    <w:rsid w:val="00E147C8"/>
    <w:rsid w:val="00E21650"/>
    <w:rsid w:val="00E23EEC"/>
    <w:rsid w:val="00E45F0F"/>
    <w:rsid w:val="00E670F1"/>
    <w:rsid w:val="00E74810"/>
    <w:rsid w:val="00E8341C"/>
    <w:rsid w:val="00E91AE8"/>
    <w:rsid w:val="00E96CCB"/>
    <w:rsid w:val="00E972C8"/>
    <w:rsid w:val="00EA0508"/>
    <w:rsid w:val="00EA0B9B"/>
    <w:rsid w:val="00EA211C"/>
    <w:rsid w:val="00EB01AE"/>
    <w:rsid w:val="00EB7EE0"/>
    <w:rsid w:val="00EC77DB"/>
    <w:rsid w:val="00ED3393"/>
    <w:rsid w:val="00EE6261"/>
    <w:rsid w:val="00EE783C"/>
    <w:rsid w:val="00EF1851"/>
    <w:rsid w:val="00F05884"/>
    <w:rsid w:val="00F06648"/>
    <w:rsid w:val="00F36052"/>
    <w:rsid w:val="00F41360"/>
    <w:rsid w:val="00F5091B"/>
    <w:rsid w:val="00F50A61"/>
    <w:rsid w:val="00F51719"/>
    <w:rsid w:val="00F62B8A"/>
    <w:rsid w:val="00F63562"/>
    <w:rsid w:val="00F64A80"/>
    <w:rsid w:val="00F76D17"/>
    <w:rsid w:val="00FB6F42"/>
    <w:rsid w:val="00FC169D"/>
    <w:rsid w:val="00FC2633"/>
    <w:rsid w:val="00FC4A73"/>
    <w:rsid w:val="00FC694D"/>
    <w:rsid w:val="00FD0389"/>
    <w:rsid w:val="00FD09B4"/>
    <w:rsid w:val="00FE139E"/>
    <w:rsid w:val="00FE3E24"/>
    <w:rsid w:val="00FE5734"/>
    <w:rsid w:val="00F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C6BE"/>
  <w15:chartTrackingRefBased/>
  <w15:docId w15:val="{AC6F4CC3-3D85-4F71-A0B2-CAFDA962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7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7F1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basedOn w:val="Normal"/>
    <w:uiPriority w:val="1"/>
    <w:qFormat/>
    <w:rsid w:val="00BD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D7F18"/>
    <w:rPr>
      <w:b/>
      <w:bCs/>
    </w:rPr>
  </w:style>
  <w:style w:type="character" w:styleId="nfase">
    <w:name w:val="Emphasis"/>
    <w:basedOn w:val="Fontepargpadro"/>
    <w:uiPriority w:val="20"/>
    <w:qFormat/>
    <w:rsid w:val="00BD7F18"/>
    <w:rPr>
      <w:i/>
      <w:iCs/>
    </w:rPr>
  </w:style>
  <w:style w:type="paragraph" w:styleId="PargrafodaLista">
    <w:name w:val="List Paragraph"/>
    <w:basedOn w:val="Normal"/>
    <w:uiPriority w:val="34"/>
    <w:qFormat/>
    <w:rsid w:val="00CF57A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D63D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63D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5199B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62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2B8A"/>
  </w:style>
  <w:style w:type="paragraph" w:styleId="Rodap">
    <w:name w:val="footer"/>
    <w:basedOn w:val="Normal"/>
    <w:link w:val="RodapChar"/>
    <w:uiPriority w:val="99"/>
    <w:unhideWhenUsed/>
    <w:rsid w:val="00F62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2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1744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Cristina Pirkiel</dc:creator>
  <cp:keywords/>
  <dc:description/>
  <cp:lastModifiedBy>Elaine Cristina Pirkiel</cp:lastModifiedBy>
  <cp:revision>11</cp:revision>
  <dcterms:created xsi:type="dcterms:W3CDTF">2020-12-03T18:33:00Z</dcterms:created>
  <dcterms:modified xsi:type="dcterms:W3CDTF">2021-01-13T11:07:00Z</dcterms:modified>
</cp:coreProperties>
</file>